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an organ dose, and cannot express how tube-current</w:t>
      </w:r>
      <w:r>
        <w:t xml:space="preserve"> </w:t>
      </w:r>
      <w:r>
        <w:t xml:space="preserve">modulation varies along a patient. An organ-specific weighted CTDIvol addressing this has</w:t>
      </w:r>
      <w:r>
        <w:t xml:space="preserve"> </w:t>
      </w:r>
      <w:r>
        <w:t xml:space="preserve">been reported before, in single-institution cohorts and often from inputs routine archives</w:t>
      </w:r>
      <w:r>
        <w:t xml:space="preserve"> </w:t>
      </w:r>
      <w:r>
        <w:t xml:space="preserve">do not retain. New here is not the quantity but what an open, multi-vendor</w:t>
      </w:r>
      <w:r>
        <w:t xml:space="preserve"> </w:t>
      </w:r>
      <w:r>
        <w:t xml:space="preserve">operationalisation reveals: whether its inputs survive archive curation, and what the</w:t>
      </w:r>
      <w:r>
        <w:t xml:space="preserve"> </w:t>
      </w:r>
      <w:r>
        <w:t xml:space="preserve">fallback costs when they do not. Forty abdominal CT series, ten per manufacturer, were</w:t>
      </w:r>
      <w:r>
        <w:t xml:space="preserve"> </w:t>
      </w:r>
      <w:r>
        <w:t xml:space="preserve">drawn from The Cancer Imaging Archive and twelve organs segmented with TotalSegmentator at</w:t>
      </w:r>
      <w:r>
        <w:t xml:space="preserve"> </w:t>
      </w:r>
      <w:r>
        <w:t xml:space="preserve">inference. Of 480 requested organ–series combinations, 455 were produced. A rule-based</w:t>
      </w:r>
      <w:r>
        <w:t xml:space="preserve"> </w:t>
      </w:r>
      <w:r>
        <w:t xml:space="preserve">acquisition-constancy criterion admitted 39 series. Modulation weights spanned</w:t>
      </w:r>
      <w:r>
        <w:t xml:space="preserve"> </w:t>
      </w:r>
      <w:r>
        <w:t xml:space="preserve">0.59 to 1.69, so the index departs from the whole-scan CTDIvol by up to 70% within one</w:t>
      </w:r>
      <w:r>
        <w:t xml:space="preserve"> </w:t>
      </w:r>
      <w:r>
        <w:t xml:space="preserve">acquisition. A recorded CTDIvol survived in 29 of 40 archived headers, was reconstructable</w:t>
      </w:r>
      <w:r>
        <w:t xml:space="preserve"> </w:t>
      </w:r>
      <w:r>
        <w:t xml:space="preserve">in 5 and unavailable in 6, availability differing markedly between manufacturers. Forcing</w:t>
      </w:r>
      <w:r>
        <w:t xml:space="preserve"> </w:t>
      </w:r>
      <w:r>
        <w:t xml:space="preserve">that reconstruction on series that did retain a value agreed to within 12% on three</w:t>
      </w:r>
      <w:r>
        <w:t xml:space="preserve"> </w:t>
      </w:r>
      <w:r>
        <w:t xml:space="preserve">scanner models and diverged by 58% and 84% on two others. Estimated organ mass was broadly</w:t>
      </w:r>
      <w:r>
        <w:t xml:space="preserve"> </w:t>
      </w:r>
      <w:r>
        <w:t xml:space="preserve">consistent with ICRP 89 for liver and kidneys. This index is not absorbed dose; the</w:t>
      </w:r>
      <w:r>
        <w:t xml:space="preserve"> </w:t>
      </w:r>
      <w:r>
        <w:t xml:space="preserve">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 [2],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Khatonabadi et al. demonstrated 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 organ’s own location,</w:t>
      </w:r>
      <w:r>
        <w:t xml:space="preserve"> </w:t>
      </w:r>
      <w:r>
        <w:t xml:space="preserve">tracks Monte-Carlo organ dose far better than the whole-scan value, raising the coefficient</w:t>
      </w:r>
      <w:r>
        <w:t xml:space="preserve"> </w:t>
      </w:r>
      <w:r>
        <w:t xml:space="preserve">of determination for liver dose from 0.26 to 0.86 [3]. Tian et al. formalised a</w:t>
      </w:r>
      <w:r>
        <w:t xml:space="preserve"> </w:t>
      </w:r>
      <w:r>
        <w:rPr>
          <w:b/>
          <w:b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organ-specific CTDIvol</w:t>
      </w:r>
      <w:r>
        <w:t xml:space="preserve"> </w:t>
      </w:r>
      <w:r>
        <w:t xml:space="preserve">computed from the modulation profile and used it, with organ-dose</w:t>
      </w:r>
      <w:r>
        <w:t xml:space="preserve"> </w:t>
      </w:r>
      <w: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[5].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[6]. Eom et al. incorporated TotalSegmentator into an automated effective-dose</w:t>
      </w:r>
      <w:r>
        <w:t xml:space="preserve"> </w:t>
      </w:r>
      <w:r>
        <w:t xml:space="preserve">calculation on clinical PET/CT [7].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[8], built on nnU-Net [9],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2.11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patient models and corrected for patient size [4].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 stated below in terms of what is computed and by what rule, since</w:t>
      </w:r>
      <w:r>
        <w:t xml:space="preserve"> </w:t>
      </w:r>
      <w:r>
        <w:t xml:space="preserve">that is where the novelty of an operationalisation lies: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end-to-end computation from archived metadata alone.</w:t>
      </w:r>
      <w:r>
        <w:t xml:space="preserve"> </w:t>
      </w:r>
      <w:r>
        <w:t xml:space="preserve">Per-slice tube current</w:t>
      </w:r>
      <w:r>
        <w:t xml:space="preserve"> </w:t>
      </w:r>
      <w:r>
        <w:t xml:space="preserve">I(z) is read from (0018,1151) on every image; the series is resampled onto a uniform</w:t>
      </w:r>
      <w:r>
        <w:t xml:space="preserve"> </w:t>
      </w:r>
      <w:r>
        <w:t xml:space="preserve">slice grid; twelve organ masks are obtained from a general-purpose segmenter at</w:t>
      </w:r>
      <w:r>
        <w:t xml:space="preserve"> </w:t>
      </w:r>
      <w:r>
        <w:t xml:space="preserve">inference; each organ’s longitudinal extent is taken from the extreme slices of its</w:t>
      </w:r>
      <w:r>
        <w:t xml:space="preserve"> </w:t>
      </w:r>
      <w:r>
        <w:t xml:space="preserve">own mask; and the organ weight is the mean of I(z) over that extent divided by the</w:t>
      </w:r>
      <w:r>
        <w:t xml:space="preserve"> </w:t>
      </w:r>
      <w:r>
        <w:t xml:space="preserve">mean over the whole series. The index is that weight times the whole-scan CTDIvol.</w:t>
      </w:r>
      <w:r>
        <w:t xml:space="preserve"> </w:t>
      </w:r>
      <w:r>
        <w:t xml:space="preserve">Nothing in the chain requires projection data, a manual contour, or a value the</w:t>
      </w:r>
      <w:r>
        <w:t xml:space="preserve"> </w:t>
      </w:r>
      <w:r>
        <w:t xml:space="preserve">scanner did not already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multi-vendor empirical characterisation of the resulting quantity</w:t>
      </w:r>
      <w:r>
        <w:t xml:space="preserve"> </w:t>
      </w:r>
      <w:r>
        <w:t xml:space="preserve">— its range,</w:t>
      </w:r>
      <w:r>
        <w:t xml:space="preserve"> </w:t>
      </w:r>
      <w:r>
        <w:t xml:space="preserve">its within-acquisition spread and its behaviour across four manufacturers — computed</w:t>
      </w:r>
      <w:r>
        <w:t xml:space="preserve"> </w:t>
      </w:r>
      <w:r>
        <w:t xml:space="preserve">by the same code on all series, so that between-vendor differences cannot arise from</w:t>
      </w:r>
      <w:r>
        <w:t xml:space="preserve"> </w:t>
      </w:r>
      <w:r>
        <w:t xml:space="preserve">between-site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measurement of how often the inputs survive archive curation, and of what happens</w:t>
      </w:r>
      <w:r>
        <w:rPr>
          <w:b/>
          <w:bCs/>
        </w:rPr>
        <w:t xml:space="preserve"> </w:t>
      </w:r>
      <w:r>
        <w:rPr>
          <w:b/>
          <w:bCs/>
        </w:rPr>
        <w:t xml:space="preserve">when one of them does not.</w:t>
      </w:r>
      <w:r>
        <w:t xml:space="preserve"> </w:t>
      </w:r>
      <w:r>
        <w:t xml:space="preserve">The measurement is a direct inspection of the archived</w:t>
      </w:r>
      <w:r>
        <w:t xml:space="preserve"> </w:t>
      </w:r>
      <w:r>
        <w:t xml:space="preserve">headers of all 40 series for the two attributes the index needs: per-slice tube</w:t>
      </w:r>
      <w:r>
        <w:t xml:space="preserve"> </w:t>
      </w:r>
      <w:r>
        <w:t xml:space="preserve">current, and a whole-scan CTDIvol in (0018,9345). Where the second is absent it can</w:t>
      </w:r>
      <w:r>
        <w:t xml:space="preserve"> </w:t>
      </w:r>
      <w:r>
        <w:t xml:space="preserve">sometimes be rebuilt from acquisition physics, and Section 3.5 reports how far that</w:t>
      </w:r>
      <w:r>
        <w:t xml:space="preserve"> </w:t>
      </w:r>
      <w:r>
        <w:t xml:space="preserve">reconstruction agrees with the recorded value on the series where both can be</w:t>
      </w:r>
      <w:r>
        <w:t xml:space="preserve"> </w:t>
      </w:r>
      <w:r>
        <w:t xml:space="preserve">obtained. What is new is the pairing: retention rates measured on a multi-vendor</w:t>
      </w:r>
      <w:r>
        <w:t xml:space="preserve"> </w:t>
      </w:r>
      <w:r>
        <w:t xml:space="preserve">archive sample, together with the accuracy and the coverage of the fallback that the</w:t>
      </w:r>
      <w:r>
        <w:t xml:space="preserve"> </w:t>
      </w:r>
      <w:r>
        <w:t xml:space="preserve">gaps force a retrospective study onto.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rule-based acquisition-constancy criterion</w:t>
      </w:r>
      <w:r>
        <w:t xml:space="preserve"> </w:t>
      </w:r>
      <w:r>
        <w:t xml:space="preserve">that makes the proportionality</w:t>
      </w:r>
      <w:r>
        <w:t xml:space="preserve"> </w:t>
      </w:r>
      <w:r>
        <w:t xml:space="preserve">assumption behind the weighting testable rather than implicit: a series is admitted</w:t>
      </w:r>
      <w:r>
        <w:t xml:space="preserve"> </w:t>
      </w:r>
      <w:r>
        <w:t xml:space="preserve">only if every attribute that governs scanner output other than tube current is</w:t>
      </w:r>
      <w:r>
        <w:t xml:space="preserve"> </w:t>
      </w:r>
      <w:r>
        <w:t xml:space="preserve">constant within it, to a tolerance justified in Section 2.9 from the resolution at</w:t>
      </w:r>
      <w:r>
        <w:t xml:space="preserve"> </w:t>
      </w:r>
      <w:r>
        <w:t xml:space="preserve">which those attributes are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external reference comparison of attenuation-derived estimated organ mass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ICRP 89 values [10].</w:t>
      </w:r>
      <w:r>
        <w:t xml:space="preserve"> </w:t>
      </w:r>
      <w:r>
        <w:t xml:space="preserve">This is not a separate study but the only external check</w:t>
      </w:r>
      <w:r>
        <w:t xml:space="preserve"> </w:t>
      </w:r>
      <w:r>
        <w:t xml:space="preserve">available to the pipeline: no ground-truth organ mass exists for archived series, and</w:t>
      </w:r>
      <w:r>
        <w:t xml:space="preserve"> </w:t>
      </w:r>
      <w:r>
        <w:t xml:space="preserve">organ mass is the one intermediate quantity the pipeline produces that can be compared</w:t>
      </w:r>
      <w:r>
        <w:t xml:space="preserve"> </w:t>
      </w:r>
      <w:r>
        <w:t xml:space="preserve">with a published reference at all. Agreement bounds how far the segmentation and the</w:t>
      </w:r>
      <w:r>
        <w:t xml:space="preserve"> </w:t>
      </w:r>
      <w:r>
        <w:t xml:space="preserve">Hounsfield-to-density mapping can jointly be wrong, which is what makes the weights</w:t>
      </w:r>
      <w:r>
        <w:t xml:space="preserve"> </w:t>
      </w:r>
      <w:r>
        <w:t xml:space="preserve">downstream of them worth reporting.</w:t>
      </w:r>
    </w:p>
    <w:bookmarkEnd w:id="11"/>
    <w:bookmarkStart w:id="28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 Figure 1 sets out the whole pipeline: the stages of data formation,</w:t>
      </w:r>
      <w:r>
        <w:t xml:space="preserve"> </w:t>
      </w:r>
      <w:r>
        <w:t xml:space="preserve">the number of series surviving each, and the verification attached to each stage together</w:t>
      </w:r>
      <w:r>
        <w:t xml:space="preserve"> </w:t>
      </w:r>
      <w:r>
        <w:t xml:space="preserve">with what it rejects.</w:t>
      </w:r>
    </w:p>
    <w:p>
      <w:pPr>
        <w:pStyle w:val="BodyText"/>
      </w:pPr>
      <w:r>
        <w:drawing>
          <wp:inline>
            <wp:extent cx="4800600" cy="670083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700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Data formation and verification. Blue: stages that produce or transform</w:t>
      </w:r>
      <w:r>
        <w:t xml:space="preserve"> </w:t>
      </w:r>
      <w:r>
        <w:t xml:space="preserve">data, with the number of series or records carried forward. Orange: verification, each</w:t>
      </w:r>
      <w:r>
        <w:t xml:space="preserve"> </w:t>
      </w:r>
      <w:r>
        <w:t xml:space="preserve">box naming what its stage rejects or flags. Green: the reported quantity. Every count is</w:t>
      </w:r>
      <w:r>
        <w:t xml:space="preserve"> </w:t>
      </w:r>
      <w:r>
        <w:t xml:space="preserve">read from the shipped result files.</w:t>
      </w:r>
    </w:p>
    <w:p>
      <w:pPr>
        <w:pStyle w:val="BodyText"/>
      </w:pPr>
      <w:r>
        <w:t xml:space="preserve">All series in this study are public, de-identified data from The Cancer Imaging Archive,</w:t>
      </w:r>
      <w:r>
        <w:t xml:space="preserve"> </w:t>
      </w:r>
      <w:r>
        <w:t xml:space="preserve">used under the individual collection licences recorded in the provenance file that</w:t>
      </w:r>
      <w:r>
        <w:t xml:space="preserve"> </w:t>
      </w:r>
      <w:r>
        <w:t xml:space="preserve">accompanies the software. The archive’s submission process removes protected health</w:t>
      </w:r>
      <w:r>
        <w:t xml:space="preserve"> </w:t>
      </w:r>
      <w:r>
        <w:t xml:space="preserve">information from both headers and pixel data before publication while retaining the</w:t>
      </w:r>
      <w:r>
        <w:t xml:space="preserve"> </w:t>
      </w:r>
      <w:r>
        <w:t xml:space="preserve">attributes research requires [11], and no imaging is redistributed by this work: series</w:t>
      </w:r>
      <w:r>
        <w:t xml:space="preserve"> </w:t>
      </w:r>
      <w:r>
        <w:t xml:space="preserve">are identified by Series Instance UID, collection and licence so that any of them can be</w:t>
      </w:r>
      <w:r>
        <w:t xml:space="preserve"> </w:t>
      </w:r>
      <w:r>
        <w:t xml:space="preserve">re-fetched. The study required no ethical approval, since it uses only such data and</w:t>
      </w:r>
      <w:r>
        <w:t xml:space="preserve"> </w:t>
      </w:r>
      <w:r>
        <w:t xml:space="preserve">enrols no participants.</w:t>
      </w:r>
    </w:p>
    <w:p>
      <w:pPr>
        <w:pStyle w:val="BodyText"/>
      </w:pPr>
      <w:r>
        <w:t xml:space="preserve">All imaging was drawn from The Cancer Imaging Archive [12].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[13]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p>
      <w:pPr>
        <w:pStyle w:val="BodyText"/>
      </w:pPr>
      <w:r>
        <w:t xml:space="preserve">Ten series per manufacturer was chosen for what the study measures. Every quantity</w:t>
      </w:r>
      <w:r>
        <w:t xml:space="preserve"> </w:t>
      </w:r>
      <w:r>
        <w:t xml:space="preserve">reported here is a per-series or per-organ property computed by identical code, so the</w:t>
      </w:r>
      <w:r>
        <w:t xml:space="preserve"> </w:t>
      </w:r>
      <w:r>
        <w:t xml:space="preserve">comparison that matters is between organs within a patient, where each series is its own</w:t>
      </w:r>
      <w:r>
        <w:t xml:space="preserve"> </w:t>
      </w:r>
      <w:r>
        <w:t xml:space="preserve">control and 40 series yield 455 organ records. Ten per manufacturer supports a median and</w:t>
      </w:r>
      <w:r>
        <w:t xml:space="preserve"> </w:t>
      </w:r>
      <w:r>
        <w:t xml:space="preserve">an interquartile range for a manufacturer, which is what is reported, and does not support</w:t>
      </w:r>
      <w:r>
        <w:t xml:space="preserve"> </w:t>
      </w:r>
      <w:r>
        <w:t xml:space="preserve">a distributional claim about one, which is not. Nothing in the design is powered by adding</w:t>
      </w:r>
      <w:r>
        <w:t xml:space="preserve"> </w:t>
      </w:r>
      <w:r>
        <w:t xml:space="preserve">series: a larger cohort would narrow those interquartile ranges without changing what the</w:t>
      </w:r>
      <w:r>
        <w:t xml:space="preserve"> </w:t>
      </w:r>
      <w:r>
        <w:t xml:space="preserve">index is or whether its inputs survive archive curation.</w:t>
      </w:r>
    </w:p>
    <w:p>
      <w:pPr>
        <w:pStyle w:val="BodyText"/>
      </w:pPr>
      <w:r>
        <w:t xml:space="preserve">The selection is not a random sample of clinical CT and cannot be treated as one. Three</w:t>
      </w:r>
      <w:r>
        <w:t xml:space="preserve"> </w:t>
      </w:r>
      <w:r>
        <w:t xml:space="preserve">stages shape it. The metadata screen keeps abdominal, diagnostic, reconstructed series of</w:t>
      </w:r>
      <w:r>
        <w:t xml:space="preserve"> </w:t>
      </w:r>
      <w:r>
        <w:t xml:space="preserve">moderate length, so unusual acquisitions are removed by construction. The probe requires</w:t>
      </w:r>
      <w:r>
        <w:t xml:space="preserve"> </w:t>
      </w:r>
      <w:r>
        <w:t xml:space="preserve">per-slice tube current recorded on every probed image and genuine modulation, which</w:t>
      </w:r>
      <w:r>
        <w:t xml:space="preserve"> </w:t>
      </w:r>
      <w:r>
        <w:t xml:space="preserve">excludes fixed-current protocols entirely and, as Section 3.3 shows, correlates with</w:t>
      </w:r>
      <w:r>
        <w:t xml:space="preserve"> </w:t>
      </w:r>
      <w:r>
        <w:t xml:space="preserve">manufacturer through what the archive retained. The collections themselves are</w:t>
      </w:r>
      <w:r>
        <w:t xml:space="preserve"> </w:t>
      </w:r>
      <w:r>
        <w:t xml:space="preserve">oncological, so body habitus and organ appearance are those of a cancer population rather</w:t>
      </w:r>
      <w:r>
        <w:t xml:space="preserve"> </w:t>
      </w:r>
      <w:r>
        <w:t xml:space="preserve">than of a screening one. The direction of each effect can be stated even though its size</w:t>
      </w:r>
      <w:r>
        <w:t xml:space="preserve"> </w:t>
      </w:r>
      <w:r>
        <w:t xml:space="preserve">cannot: the cohort is biased towards modern modulated abdominal protocols on scanners</w:t>
      </w:r>
      <w:r>
        <w:t xml:space="preserve"> </w:t>
      </w:r>
      <w:r>
        <w:t xml:space="preserve">whose archived headers are complete, which is the population in which an</w:t>
      </w:r>
      <w:r>
        <w:t xml:space="preserve"> </w:t>
      </w:r>
      <w:r>
        <w:t xml:space="preserve">anatomy-weighted index is computable at all, and the availability fractions in Section 3.3</w:t>
      </w:r>
      <w:r>
        <w:t xml:space="preserve"> </w:t>
      </w:r>
      <w: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[8],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</w:t>
      </w:r>
    </w:p>
    <w:p>
      <w:pPr>
        <w:pStyle w:val="BodyText"/>
      </w:pPr>
      <w:r>
        <w:t xml:space="preserve">TotalSegmentator is an nnU-Net model [9]. nnU-Net is not a fixed architecture but a</w:t>
      </w:r>
      <w:r>
        <w:t xml:space="preserve"> </w:t>
      </w:r>
      <w:r>
        <w:t xml:space="preserve">self-configuring pipeline: from the spacing, size and intensity distribution of a training</w:t>
      </w:r>
      <w:r>
        <w:t xml:space="preserve"> </w:t>
      </w:r>
      <w:r>
        <w:t xml:space="preserve">set it derives the patch size, the batch size, the pooling depth and the normalisation</w:t>
      </w:r>
      <w:r>
        <w:t xml:space="preserve"> </w:t>
      </w:r>
      <w:r>
        <w:t xml:space="preserve">scheme, and instantiates an encoder–decoder convolutional network of the U-Net family with</w:t>
      </w:r>
      <w:r>
        <w:t xml:space="preserve"> </w:t>
      </w:r>
      <w:r>
        <w:t xml:space="preserve">those settings. The self-configuration and its validation are examined further in [14]. The network used here is the three-dimensional full-resolution variant,</w:t>
      </w:r>
      <w:r>
        <w:t xml:space="preserve"> </w:t>
      </w:r>
      <w:r>
        <w:t xml:space="preserve">which processes overlapping patches of the volume and aggregates them with Gaussian</w:t>
      </w:r>
      <w:r>
        <w:t xml:space="preserve"> </w:t>
      </w:r>
      <w:r>
        <w:t xml:space="preserve">weighting, so that a voxel near a patch border is decided mainly by the patch in which it</w:t>
      </w:r>
      <w:r>
        <w:t xml:space="preserve"> </w:t>
      </w:r>
      <w:r>
        <w:t xml:space="preserve">sits centrally. The published model was trained on a corpus of computed tomography</w:t>
      </w:r>
      <w:r>
        <w:t xml:space="preserve"> </w:t>
      </w:r>
      <w:r>
        <w:t xml:space="preserve">covering 104 anatomical structures across a wide range of scanners, protocols and body</w:t>
      </w:r>
      <w:r>
        <w:t xml:space="preserve"> </w:t>
      </w:r>
      <w:r>
        <w:t xml:space="preserve">regions [8]; the twelve abdominal structures used here are a subset of its output classes.</w:t>
      </w:r>
      <w:r>
        <w:t xml:space="preserve"> </w:t>
      </w:r>
      <w:r>
        <w:t xml:space="preserve">Inference used the released weights with the default configuration, on one GPU, in a</w:t>
      </w:r>
      <w:r>
        <w:t xml:space="preserve"> </w:t>
      </w:r>
      <w:r>
        <w:t xml:space="preserve">separate child process, because nnU-Net spawns its own worker processes and doing so from</w:t>
      </w:r>
      <w:r>
        <w:t xml:space="preserve"> </w:t>
      </w:r>
      <w: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[15]. Figure 2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t xml:space="preserve">No mask was manually corrected, and none was used without being checked. Two procedures</w:t>
      </w:r>
      <w:r>
        <w:t xml:space="preserve"> </w:t>
      </w:r>
      <w:r>
        <w:t xml:space="preserve">were applied to every series, both automated in the first instance and one of them</w:t>
      </w:r>
      <w:r>
        <w:t xml:space="preserve"> </w:t>
      </w:r>
      <w:r>
        <w:t xml:space="preserve">followed by direct inspection of the images.</w:t>
      </w:r>
    </w:p>
    <w:p>
      <w:pPr>
        <w:pStyle w:val="BodyText"/>
      </w:pPr>
      <w:r>
        <w:t xml:space="preserve">The first is a set of anatomical assertions run over the completed record of all 40</w:t>
      </w:r>
      <w:r>
        <w:t xml:space="preserve"> </w:t>
      </w:r>
      <w:r>
        <w:t xml:space="preserve">series. They test properties that a correct segmentation cannot violate and an incorrect</w:t>
      </w:r>
      <w:r>
        <w:t xml:space="preserve"> </w:t>
      </w:r>
      <w:r>
        <w:t xml:space="preserve">one violates conspicuously: that the left-sided organ of each pair lies on the patient’s</w:t>
      </w:r>
      <w:r>
        <w:t xml:space="preserve"> </w:t>
      </w:r>
      <w:r>
        <w:t xml:space="preserve">left; that the adrenal gland lies superior to the kidney on the same side; that each</w:t>
      </w:r>
      <w:r>
        <w:t xml:space="preserve"> </w:t>
      </w:r>
      <w:r>
        <w:t xml:space="preserve">organ’s attenuation-derived mass falls inside a plausibility band around its ICRP 89</w:t>
      </w:r>
      <w:r>
        <w:t xml:space="preserve"> </w:t>
      </w:r>
      <w:r>
        <w:t xml:space="preserve">reference value [10]; and that the organ modulation weights vary between organs and</w:t>
      </w:r>
      <w:r>
        <w:t xml:space="preserve"> </w:t>
      </w:r>
      <w:r>
        <w:t xml:space="preserve">bracket the scan mean, which they must if the weighting is being applied at all to a</w:t>
      </w:r>
      <w:r>
        <w:t xml:space="preserve"> </w:t>
      </w:r>
      <w:r>
        <w:t xml:space="preserve">modulated acquisition. The first two are tripwires for the failure modes that leave no</w:t>
      </w:r>
      <w:r>
        <w:t xml:space="preserve"> </w:t>
      </w:r>
      <w:r>
        <w:t xml:space="preserve">other trace — a mirrored volume, or an inverted head–foot ordering — because both produce</w:t>
      </w:r>
      <w:r>
        <w:t xml:space="preserve"> </w:t>
      </w:r>
      <w:r>
        <w:t xml:space="preserve">masks whose volumes and Hounsfield statistics look entirely ordinary.</w:t>
      </w:r>
    </w:p>
    <w:p>
      <w:pPr>
        <w:pStyle w:val="BodyText"/>
      </w:pPr>
      <w:r>
        <w:t xml:space="preserve">14 of the 40 series raised at least one flag, 28 flags in all. None was a laterality</w:t>
      </w:r>
      <w:r>
        <w:t xml:space="preserve"> </w:t>
      </w:r>
      <w:r>
        <w:t xml:space="preserve">failure and none was an inversion. The flags divide into four kinds. 10 were the weights</w:t>
      </w:r>
      <w:r>
        <w:t xml:space="preserve"> </w:t>
      </w:r>
      <w:r>
        <w:t xml:space="preserve">failing to bracket the scan mean, which the check itself reports as expected when the</w:t>
      </w:r>
      <w:r>
        <w:t xml:space="preserve"> </w:t>
      </w:r>
      <w:r>
        <w:t xml:space="preserve">acquisition extends beyond the abdomen: in a chest–abdomen–pelvis series the scan mean</w:t>
      </w:r>
      <w:r>
        <w:t xml:space="preserve"> </w:t>
      </w:r>
      <w:r>
        <w:t xml:space="preserve">includes regions no abdominal organ occupies, and the abdominal weights then sit to one</w:t>
      </w:r>
      <w:r>
        <w:t xml:space="preserve"> </w:t>
      </w:r>
      <w:r>
        <w:t xml:space="preserve">side of it. 15 were organ masses outside the plausibility band. Two were the organ</w:t>
      </w:r>
      <w:r>
        <w:t xml:space="preserve"> </w:t>
      </w:r>
      <w:r>
        <w:t xml:space="preserve">weights not varying between organs, which occurs when the tube current is effectively</w:t>
      </w:r>
      <w:r>
        <w:t xml:space="preserve"> </w:t>
      </w:r>
      <w:r>
        <w:t xml:space="preserve">constant over the abdominal extent rather than when the weighting has failed; those series</w:t>
      </w:r>
      <w:r>
        <w:t xml:space="preserve"> </w:t>
      </w:r>
      <w:r>
        <w:t xml:space="preserve">are separately excluded from the quantitative analysis by the acquisition-constancy</w:t>
      </w:r>
      <w:r>
        <w:t xml:space="preserve"> </w:t>
      </w:r>
      <w:r>
        <w:t xml:space="preserve">criterion of Section 2.10. One was a borderline superior–inferior ordering, an adrenal and</w:t>
      </w:r>
      <w:r>
        <w:t xml:space="preserve"> </w:t>
      </w:r>
      <w:r>
        <w:t xml:space="preserve">kidney centroid separated by five voxels on a series where the two structures abut.</w:t>
      </w:r>
    </w:p>
    <w:p>
      <w:pPr>
        <w:pStyle w:val="BodyText"/>
      </w:pPr>
      <w:r>
        <w:t xml:space="preserve">The second procedure addresses the mass flags, because an organ mass far from its</w:t>
      </w:r>
      <w:r>
        <w:t xml:space="preserve"> </w:t>
      </w:r>
      <w:r>
        <w:t xml:space="preserve">reference value has two explanations that are indistinguishable in a table: a patient</w:t>
      </w:r>
      <w:r>
        <w:t xml:space="preserve"> </w:t>
      </w:r>
      <w:r>
        <w:t xml:space="preserve">whose organ really is that size, and a mask that has leaked into neighbouring tissue. Only</w:t>
      </w:r>
      <w:r>
        <w:t xml:space="preserve"> </w:t>
      </w:r>
      <w:r>
        <w:t xml:space="preserve">the image separates them. The organs furthest from their reference mass were rendered as</w:t>
      </w:r>
      <w:r>
        <w:t xml:space="preserve"> </w:t>
      </w:r>
      <w:r>
        <w:t xml:space="preserve">contours over their own CT at three levels each, with laterality and slice index annotated</w:t>
      </w:r>
      <w:r>
        <w:t xml:space="preserve"> </w:t>
      </w:r>
      <w:r>
        <w:t xml:space="preserve">on every panel, and inspected. The most extreme case in the cohort — a spleen of 671 g,</w:t>
      </w:r>
      <w:r>
        <w:t xml:space="preserve"> </w:t>
      </w:r>
      <w:r>
        <w:t xml:space="preserve">4.5 times the ICRP 89 reference — is a clean segmentation of a genuinely enlarged spleen</w:t>
      </w:r>
      <w:r>
        <w:t xml:space="preserve"> </w:t>
      </w:r>
      <w:r>
        <w:t xml:space="preserve">in a renal-carcinoma patient, the contour following the organ boundary at every level over</w:t>
      </w:r>
      <w:r>
        <w:t xml:space="preserve"> </w:t>
      </w:r>
      <w:r>
        <w:t xml:space="preserve">homogeneous parenchyma. The cohort is drawn from oncological collections, in which organ</w:t>
      </w:r>
      <w:r>
        <w:t xml:space="preserve"> </w:t>
      </w:r>
      <w:r>
        <w:t xml:space="preserve">enlargement is common; a plausibility band built on reference values for a healthy adult</w:t>
      </w:r>
      <w:r>
        <w:t xml:space="preserve"> </w:t>
      </w:r>
      <w:r>
        <w:t xml:space="preserve">is therefore expected to flag real anatomy, and does.</w:t>
      </w:r>
    </w:p>
    <w:p>
      <w:pPr>
        <w:pStyle w:val="BodyText"/>
      </w:pPr>
      <w:r>
        <w:rPr>
          <w:highlight w:val="yellow"/>
        </w:rPr>
        <w:t xml:space="preserve">The opposite tail does not admit that explanation. The smallest mass in the cohort is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left kidney of 4.3 g on a Philips Brilliance 64 series, segmented at 4.0 cm³ and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truncated by the scan boundary. No adult kidney is that size, so this is a failed mask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rather than unusual anatomy: the mass plausibility check flagged it, and it is the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segmentation failure the cohort contains. It is reported here and retained in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analysis rather than removed, because a cohort with its failures deleted cannot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audited. Its effect is small and is stated so that the reader does not have to take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 trust: excluding it moves the published median left-kidney modulation weight from 1.036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1.035.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 is annotated in the mass comparison of Section 3.5.</w:t>
      </w:r>
    </w:p>
    <w:p>
      <w:pPr>
        <w:pStyle w:val="BodyText"/>
      </w:pPr>
      <w:r>
        <w:rPr>
          <w:highlight w:val="yellow"/>
        </w:rPr>
        <w:t xml:space="preserve">That case also marks the boundary of what these checks can do. They are automated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assertions about laterality, ordering and mass, applied without a reference segmentation,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because none exists for this cohort — the images are public and de-identified, and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manually corrected masks accompany them. Checks of that kind detect gross failure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reliably: a mirrored volume, an inverted ordering, a mask that has collapsed or leaked far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enough to move the organ’s mass outside a wide band. They cannot detect a mask that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systematically displaced yet plausible — a boundary drawn a few millimetres into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neighbouring tissue throughout, which leaves laterality, ordering and mass all within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range. Quantifying that residual error would require a manually corrected reference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standard, which this study does not have and does not claim.</w:t>
      </w:r>
    </w:p>
    <w:p>
      <w:pPr>
        <w:pStyle w:val="BodyText"/>
      </w:pPr>
      <w:r>
        <w:t xml:space="preserve">Segmentation error enters the index through one channel only, and it is not the channel</w:t>
      </w:r>
      <w:r>
        <w:t xml:space="preserve"> </w:t>
      </w:r>
      <w:r>
        <w:t xml:space="preserve">intuition suggests. The weight is the mean tube current over the organ’s longitudinal</w:t>
      </w:r>
      <w:r>
        <w:t xml:space="preserve"> </w:t>
      </w:r>
      <w:r>
        <w:t xml:space="preserve">extent, relative to the scan mean, so an error that moves the superior or inferior</w:t>
      </w:r>
      <w:r>
        <w:t xml:space="preserve"> </w:t>
      </w:r>
      <w:r>
        <w:t xml:space="preserve">boundary of an organ changes which slices contribute and moves the weight. An error in</w:t>
      </w:r>
      <w:r>
        <w:t xml:space="preserve"> </w:t>
      </w:r>
      <w:r>
        <w:t xml:space="preserve">the in-plane boundary at unchanged longitudinal extent does not: the same slices are</w:t>
      </w:r>
      <w:r>
        <w:t xml:space="preserve"> </w:t>
      </w:r>
      <w:r>
        <w:t xml:space="preserve">averaged, with the same tube current on each. The quantity is therefore insensitive to the</w:t>
      </w:r>
      <w:r>
        <w:t xml:space="preserve"> </w:t>
      </w:r>
      <w:r>
        <w:t xml:space="preserve">kind of boundary error that dominates segmentation metrics such as the Dice coefficient,</w:t>
      </w:r>
      <w:r>
        <w:t xml:space="preserve"> </w:t>
      </w:r>
      <w:r>
        <w:t xml:space="preserve">and sensitive to a kind those metrics weight lightly. This is stated as a property of the</w:t>
      </w:r>
      <w:r>
        <w:t xml:space="preserve"> </w:t>
      </w:r>
      <w:r>
        <w:t xml:space="preserve">construction rather than as a measured sensitivity, which the present cohort — with no</w:t>
      </w:r>
      <w:r>
        <w:t xml:space="preserve"> </w:t>
      </w:r>
      <w: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[16] and the</w:t>
      </w:r>
      <w:r>
        <w:t xml:space="preserve"> </w:t>
      </w:r>
      <w:r>
        <w:t xml:space="preserve">construction from Schneider et al. [17].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t xml:space="preserve">Let an organ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occupy slices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per-slice voxel counts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 and let the</w:t>
      </w:r>
      <w:r>
        <w:t xml:space="preserve"> </w:t>
      </w:r>
      <w:r>
        <w:t xml:space="preserve">series carry per-slice tube current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over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images. The numerator of the</w:t>
      </w:r>
      <w:r>
        <w:t xml:space="preserve"> </w:t>
      </w:r>
      <w:r>
        <w:t xml:space="preserve">organ-specific modulation weight is the voxel-weighted mean tube current over the organ’s</w:t>
      </w:r>
      <w:r>
        <w:t xml:space="preserve"> </w:t>
      </w:r>
      <w: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weights each slice by how much of the organ it contains, so a slice through the</w:t>
      </w:r>
      <w:r>
        <w:t xml:space="preserve"> </w:t>
      </w:r>
      <w:r>
        <w:t xml:space="preserve">widest part of the liver counts for more than one clipping its dome. The denominator is</w:t>
      </w:r>
      <w:r>
        <w:t xml:space="preserve"> </w:t>
      </w:r>
      <w: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 is dimensionless and is the transferable quantity: it expresses the recorded</w:t>
      </w:r>
      <w:r>
        <w:t xml:space="preserve"> </w:t>
      </w:r>
      <w:r>
        <w:t xml:space="preserve">longitudinal tube-current conditions over the organ relative to the scan mean,</w:t>
      </w:r>
      <w:r>
        <w:t xml:space="preserve"> </w:t>
      </w:r>
      <w:r>
        <w:t xml:space="preserve">independently of the scanner’s own output. A weight of unity means the organ lay where</w:t>
      </w:r>
      <w:r>
        <w:t xml:space="preserve"> </w:t>
      </w:r>
      <w:r>
        <w:t xml:space="preserve">the tube current happened to equal the scan average; the departure from unity is what a</w:t>
      </w:r>
      <w:r>
        <w:t xml:space="preserve"> </w:t>
      </w:r>
      <w: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</w:t>
      </w:r>
    </w:p>
    <w:p>
      <w:pPr>
        <w:pStyle w:val="BodyText"/>
      </w:pPr>
      <w:r>
        <w:t xml:space="preserve">The value of 2% follows from those two scales rather than from the data. Below it lies</w:t>
      </w:r>
      <w:r>
        <w:t xml:space="preserve"> </w:t>
      </w:r>
      <w:r>
        <w:t xml:space="preserve">the representation: at the 400–700 ms exposure times these acquisitions use, the integer</w:t>
      </w:r>
      <w:r>
        <w:t xml:space="preserve"> </w:t>
      </w:r>
      <w:r>
        <w:t xml:space="preserve">millisecond step alone moves a value by up to about 0.25%, and 2% sits an order of</w:t>
      </w:r>
      <w:r>
        <w:t xml:space="preserve"> </w:t>
      </w:r>
      <w:r>
        <w:t xml:space="preserve">magnitude above that. Above it lies the smallest change of technique that can actually</w:t>
      </w:r>
      <w:r>
        <w:t xml:space="preserve"> </w:t>
      </w:r>
      <w:r>
        <w:t xml:space="preserve">occur, since rotation time is switched in discrete steps and the smallest of those halves</w:t>
      </w:r>
      <w:r>
        <w:t xml:space="preserve"> </w:t>
      </w:r>
      <w:r>
        <w:t xml:space="preserve">or doubles it — a change of 100%. The threshold therefore separates two regimes that are</w:t>
      </w:r>
      <w:r>
        <w:t xml:space="preserve"> </w:t>
      </w:r>
      <w:r>
        <w:t xml:space="preserve">two orders of magnitude apart, and is not fitted to these data: any value between roughly</w:t>
      </w:r>
      <w:r>
        <w:t xml:space="preserve"> </w:t>
      </w:r>
      <w:r>
        <w:t xml:space="preserve">1% and 50% classifies this cohort identically, because the only material variation</w:t>
      </w:r>
      <w:r>
        <w:t xml:space="preserve"> </w:t>
      </w:r>
      <w: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[18];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pipeline is organised in four layers — acquisition, organ record,</w:t>
      </w:r>
      <w:r>
        <w:t xml:space="preserve"> </w:t>
      </w:r>
      <w:r>
        <w:t xml:space="preserve">analysis and figures — each regenerated by a single command and each writing a</w:t>
      </w:r>
      <w:r>
        <w:t xml:space="preserve"> </w:t>
      </w:r>
      <w:r>
        <w:t xml:space="preserve">machine-readable record that the next layer reads; the acquisition-parameter check of</w:t>
      </w:r>
      <w:r>
        <w:t xml:space="preserve"> </w:t>
      </w:r>
      <w:r>
        <w:t xml:space="preserve">Section 2.9 is a fifth, run over the completed records. Figure 1 gives the stages, the</w:t>
      </w:r>
      <w:r>
        <w:t xml:space="preserve"> </w:t>
      </w:r>
      <w:r>
        <w:t xml:space="preserve">count surviving each, and the verification step attached to each. The repository, its</w:t>
      </w:r>
      <w:r>
        <w:t xml:space="preserve"> </w:t>
      </w:r>
      <w:r>
        <w:t xml:space="preserve">release tag, commit hash and archived version DOI are given in the Data Availability</w:t>
      </w:r>
      <w:r>
        <w:t xml:space="preserve"> </w:t>
      </w:r>
      <w:r>
        <w:t xml:space="preserve">Statement, and the command for each layer is in its README rather than here.</w:t>
      </w:r>
    </w:p>
    <w:bookmarkEnd w:id="26"/>
    <w:bookmarkStart w:id="27" w:name="X662c2d66dd1eda3268d2087202c966cd73b2601"/>
    <w:p>
      <w:pPr>
        <w:pStyle w:val="Heading3"/>
      </w:pPr>
      <w:r>
        <w:t xml:space="preserve">2.13. Use of Generative Artificial Intelligence</w:t>
      </w:r>
    </w:p>
    <w:p>
      <w:pPr>
        <w:pStyle w:val="FirstParagraph"/>
      </w:pPr>
      <w:r>
        <w:rPr>
          <w:highlight w:val="yellow"/>
        </w:rPr>
        <w:t xml:space="preserve">A generative artificial intelligence assistant (Claude, Anthropic) was used as a tool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developing the software described in Sections 2.1 to 2.12 and in drafting and editing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text of this manuscript. It was not used to generate, impute or select any reported value.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number in this article is produced by executable code in the cited repository,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re-derived from the per-series records by the automated test suite described above,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verified by the author against the underlying records. The study design,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eligibility rules, the quality-control criteria and all scientific judgements,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interpretations and conclusions are the author’s, who takes full responsibility for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content of this article.</w:t>
      </w:r>
    </w:p>
    <w:bookmarkEnd w:id="27"/>
    <w:bookmarkEnd w:id="28"/>
    <w:bookmarkStart w:id="50" w:name="results"/>
    <w:p>
      <w:pPr>
        <w:pStyle w:val="Heading2"/>
      </w:pPr>
      <w:r>
        <w:t xml:space="preserve">3. Results</w:t>
      </w:r>
    </w:p>
    <w:bookmarkStart w:id="32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2.10.</w:t>
      </w:r>
      <w:r>
        <w:t xml:space="preserve"> </w:t>
      </w:r>
      <w:r>
        <w:t xml:space="preserve">Figure 2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2.9.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2_segment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3.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32"/>
    <w:bookmarkStart w:id="36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3_demonstration_c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6"/>
    <w:bookmarkStart w:id="40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4).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fig4_dose_index_availabi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40"/>
    <w:bookmarkStart w:id="41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t xml:space="preserve">Where the header retains no CTDIvol, the value is rebuilt from acquisition physics and</w:t>
      </w:r>
      <w:r>
        <w:t xml:space="preserve"> </w:t>
      </w:r>
      <w:r>
        <w:t xml:space="preserve">an open coefficient table [13], and the two origins are kept apart in every record</w:t>
      </w:r>
      <w:r>
        <w:t xml:space="preserve"> </w:t>
      </w:r>
      <w:r>
        <w:t xml:space="preserve">because the uncertainty they carry differs. That difference has to be quantified rather</w:t>
      </w:r>
      <w:r>
        <w:t xml:space="preserve"> </w:t>
      </w:r>
      <w:r>
        <w:t xml:space="preserve">than asserted.</w:t>
      </w:r>
    </w:p>
    <w:p>
      <w:pPr>
        <w:pStyle w:val="BodyText"/>
      </w:pPr>
      <w:r>
        <w:t xml:space="preserve">It cannot be quantified in the way one would first attempt. No series in this cohort</w:t>
      </w:r>
      <w:r>
        <w:t xml:space="preserve"> </w:t>
      </w:r>
      <w:r>
        <w:t xml:space="preserve">carries both values: the reconstruction runs only where the header has none, so the</w:t>
      </w:r>
      <w:r>
        <w:t xml:space="preserve"> </w:t>
      </w:r>
      <w:r>
        <w:t xml:space="preserve">recorded and reconstructed populations are disjoint by construction. The comparison was</w:t>
      </w:r>
      <w:r>
        <w:t xml:space="preserve"> </w:t>
      </w:r>
      <w:r>
        <w:t xml:space="preserve">therefore made by forcing the reconstruction on the series that do carry a recorded</w:t>
      </w:r>
      <w:r>
        <w:t xml:space="preserve"> </w:t>
      </w:r>
      <w:r>
        <w:t xml:space="preserve">value, where the recorded value plays no part in producing the reconstructed one.</w:t>
      </w:r>
    </w:p>
    <w:p>
      <w:pPr>
        <w:pStyle w:val="BodyText"/>
      </w:pPr>
      <w:r>
        <w:t xml:space="preserve">Of the 29 series with a recorded CTDIvol, 8 could be reconstructed; the remainder are on</w:t>
      </w:r>
      <w:r>
        <w:t xml:space="preserve"> </w:t>
      </w:r>
      <w:r>
        <w:t xml:space="preserve">scanner models absent from the open table. Across those 8 the median absolute difference</w:t>
      </w:r>
      <w:r>
        <w:t xml:space="preserve"> </w:t>
      </w:r>
      <w:r>
        <w:t xml:space="preserve">is 10.5%, but the differences do not form a spread. Five agree to within 12% — two</w:t>
      </w:r>
      <w:r>
        <w:t xml:space="preserve"> </w:t>
      </w:r>
      <w:r>
        <w:t xml:space="preserve">Aquilion PRIME at −8.8%, one Aquilion ONE at −8.3%, two iCT 256 at a median −2.0% — and</w:t>
      </w:r>
      <w:r>
        <w:t xml:space="preserve"> </w:t>
      </w:r>
      <w:r>
        <w:t xml:space="preserve">three do not, two Aquilion Prime SP at a median +58.0% and one SOMATOM Definition Flash</w:t>
      </w:r>
      <w:r>
        <w:t xml:space="preserve"> </w:t>
      </w:r>
      <w:r>
        <w:t xml:space="preserve">at +84.0%. The disagreement is consistent within a scanner model rather than scattered</w:t>
      </w:r>
      <w:r>
        <w:t xml:space="preserve"> </w:t>
      </w:r>
      <w:r>
        <w:t xml:space="preserve">across series, which locates it in the tabulated coefficient for those models and not in</w:t>
      </w:r>
      <w:r>
        <w:t xml:space="preserve"> </w:t>
      </w:r>
      <w:r>
        <w:t xml:space="preserve">the per-series inputs; model resolution is exact after normalisation and rejects near</w:t>
      </w:r>
      <w:r>
        <w:t xml:space="preserve"> </w:t>
      </w:r>
      <w:r>
        <w:t xml:space="preserve">misses, and the spiral pitch, checked on all 8, is recorded in every case.</w:t>
      </w:r>
    </w:p>
    <w:p>
      <w:pPr>
        <w:pStyle w:val="BodyText"/>
      </w:pPr>
      <w:r>
        <w:rPr>
          <w:highlight w:val="yellow"/>
        </w:rPr>
        <w:t xml:space="preserve">The limitation of this measurement is more important than its result. A model can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checked here only if some series in the cohort retained a recorded CTDIvol for it,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 GE series retained one. Of the 5 series whose index rests on a reconstructed CTDIvol,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 is a Philips iCT 256, a model measured above at a median −2.0%; the other 4 are GE, 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models the comparison cannot reach. The reconstruction is therefore unverified precisely where this study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leans on it hardest, and that is a property of what the archive kept rather than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method. Results resting on a reconstructed value are marked as such throughout.</w:t>
      </w:r>
    </w:p>
    <w:bookmarkEnd w:id="41"/>
    <w:bookmarkStart w:id="45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t xml:space="preserve">Table 1 and Figure 5 place attenuation-derived estimated organ mass beside the ICRP 89</w:t>
      </w:r>
      <w:r>
        <w:t xml:space="preserve"> </w:t>
      </w:r>
      <w:r>
        <w:t xml:space="preserve">reference adult male values [10],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5_organ_mass_vs_icrp8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5.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Attenuation-derived estimated organ mass relative to the ICRP 89 reference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adult male mass, by manufacturer. Each marker is one organ in one series; the horizontal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bar is the median across all manufacturers. Organs truncated by the scan boundary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excluded. Manufacturer is encoded by marker shape as well as colour, so the figure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readable in greyscale. The annotated point is the one mask the quality control of Section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2.6 flagged as a segmentation failure, retained here rather than removed.</w:t>
      </w:r>
    </w:p>
    <w:bookmarkEnd w:id="45"/>
    <w:bookmarkStart w:id="49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fig6_study_limi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9"/>
    <w:bookmarkEnd w:id="50"/>
    <w:bookmarkStart w:id="5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t xml:space="preserve">The direction of that finding is the part likely to hold; the size of it is not. A weight</w:t>
      </w:r>
      <w:r>
        <w:t xml:space="preserve"> </w:t>
      </w:r>
      <w:r>
        <w:t xml:space="preserve">span is a property of the protocols, patient habitus and modulation settings that happen</w:t>
      </w:r>
      <w:r>
        <w:t xml:space="preserve"> </w:t>
      </w:r>
      <w:r>
        <w:t xml:space="preserve">to be present, and these 39 series were assembled from oncological collections by a</w:t>
      </w:r>
      <w:r>
        <w:t xml:space="preserve"> </w:t>
      </w:r>
      <w:r>
        <w:t xml:space="preserve">vendor-balanced quota rather than sampled from any clinical population. A cohort with</w:t>
      </w:r>
      <w:r>
        <w:t xml:space="preserve"> </w:t>
      </w:r>
      <w:r>
        <w:t xml:space="preserve">different body sizes, a different mix of examination types, or different modulation</w:t>
      </w:r>
      <w:r>
        <w:t xml:space="preserve"> </w:t>
      </w:r>
      <w:r>
        <w:t xml:space="preserve">strength would produce a different span. What the numbers here establish is that the</w:t>
      </w:r>
      <w:r>
        <w:t xml:space="preserve"> </w:t>
      </w:r>
      <w:r>
        <w:t xml:space="preserve">departure is not small and cannot be assumed away; they do not establish how large it is</w:t>
      </w:r>
      <w:r>
        <w:t xml:space="preserve"> </w:t>
      </w:r>
      <w:r>
        <w:t xml:space="preserve">in any particular clinic, and the same caution applies to the availability fractions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That line of work, and the modulation dosimetry</w:t>
      </w:r>
      <w:r>
        <w:t xml:space="preserve"> </w:t>
      </w:r>
      <w:r>
        <w:t xml:space="preserve">around it, proceeded from single-institution cohorts with one or two scanner models and</w:t>
      </w:r>
      <w:r>
        <w:t xml:space="preserve"> </w:t>
      </w:r>
      <w:r>
        <w:t xml:space="preserve">manual or semi-automatic contours, drawing in part on raw projection data or</w:t>
      </w:r>
      <w:r>
        <w:t xml:space="preserve"> </w:t>
      </w:r>
      <w:r>
        <w:t xml:space="preserve">vendor-supplied modulation profiles that archived DICOM does not retain. Here the same</w:t>
      </w:r>
      <w:r>
        <w:t xml:space="preserve"> </w:t>
      </w:r>
      <w:r>
        <w:t xml:space="preserve">quantity is obtained from archived headers alone, across four manufacturers and 23 scanner</w:t>
      </w:r>
      <w:r>
        <w:t xml:space="preserve"> </w:t>
      </w:r>
      <w:r>
        <w:t xml:space="preserve">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[5]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[6]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[7]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2.11,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[8]),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  <w:highlight w:val="yellow"/>
        </w:rPr>
        <w:t xml:space="preserve">What the reconstructed values do to the index, and what they do not.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Section 3.4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measures how far a reconstructed CTDIvol departs from a recorded one; the question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follows is what such a departure does to the index built on it, and the two halves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answer are of different kinds. The first is structural. The modulation weight is a ratio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tube currents, as defined in Section 2.8, and CTDIvol does not enter it; the index is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 multiplied by CTDIvol. An error in CTDIvol therefore appears in the index at 1:1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cannot reach the weight at all, so the modulation results of Section 3.2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independent of it by construction rather than by measurement. The second half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empirical, and concerns how much of the cohort is exposed. Of the 33 series carrying 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index, 4 rest on a reconstructed CTDIvol, covering 44 of 334 organ records. Recomputing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table over the series with a recorded value alone moves the per-organ median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modulation weight by at most 0.048 and the per-organ median anatomy-weighted CTDIvol by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most 1.11 mGy. The conclusions of this study do not depend on those 4 series — but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reason for saying so is not that they can be discarded. Removing them removes GE from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weighted tables entirely, from 3 series to none, because no GE series in this cohort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retained a recorded CTDIvol at all. The multi-vendor reach of the modulation results rests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 values whose accuracy Section 3.4 could not check, and that is the honest statement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where this study is weakest.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[16] and Schneider et</w:t>
      </w:r>
      <w:r>
        <w:t xml:space="preserve"> </w:t>
      </w:r>
      <w: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applied over patient model libraries by Tian et al. [4], together</w:t>
      </w:r>
      <w:r>
        <w:t xml:space="preserve"> </w:t>
      </w:r>
      <w:r>
        <w:t xml:space="preserve">with the transport considerations listed in</w:t>
      </w:r>
      <w:r>
        <w:t xml:space="preserve"> </w:t>
      </w:r>
      <w:r>
        <w:t xml:space="preserve">Section 2.11.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[18],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  <w:highlight w:val="yellow"/>
        </w:rPr>
        <w:t xml:space="preserve">Limitations.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Ten series per manufacturer supports a median and an interquartile range,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not a distributional claim, and series within the archive are not independent with respect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to collection, site, scanner model or export pathway. The design is balanced by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manufacturer and not by scanner model, and the two are not interchangeable: those ten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 per manufacturer are spread over 9 distinct GE models, 6 Siemens, 4 Canon/Toshiba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4 Philips, so most individual models are represented by one to three series. Anything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stated here about a manufacturer is therefore a statement about a small, model-diverse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sample of that manufacturer’s installed base, and nothing in this study supports a claim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 the level of a particular scanner model. The cohort is oncological and not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population. Contrast phase, tube voltage and reconstruction kernel were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controlled, and all affect attenuation-derived mass estimates. A single segmentation model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used, so segmentation behaviour and cohort anatomy cannot be separated. There is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subject-level ground truth for organ mass. Rotation time, pitch and collimation are absent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from the archived headers of some series (19, 8 and 9 respectively), so their constancy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within those series could not be fully verified and is assumed from the single-acquisition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representation; the acquisition-constancy criterion is therefore a screen against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detectable violations rather than a guarantee. The index addresses longitudinal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1"/>
    <w:bookmarkStart w:id="5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3"/>
    <w:bookmarkStart w:id="5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4"/>
    <w:bookmarkStart w:id="55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5"/>
    <w:bookmarkStart w:id="56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6"/>
    <w:bookmarkStart w:id="57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v0.1.1 (commit 46edee6423ddc19b47efae180d8edf527299d066), archived at Zenodo under</w:t>
      </w:r>
      <w:r>
        <w:t xml:space="preserve"> </w:t>
      </w:r>
      <w:r>
        <w:t xml:space="preserve">10.5281/zenodo.21817307.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[8].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7"/>
    <w:bookmarkStart w:id="58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8"/>
    <w:bookmarkStart w:id="59" w:name="X403f50173cc9f6c2dda70a807554c26161ce17d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2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2026-08-28T02:08:30Z</dcterms:created>
  <dcterms:modified xsi:type="dcterms:W3CDTF">2026-08-28T02:08:30Z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