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150-0044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Background/Objectives:</w:t>
      </w:r>
      <w:r>
        <w:t xml:space="preserve"> </w:t>
      </w:r>
      <w:r>
        <w:t xml:space="preserve">The volume computed tomography (CT) dose index (CTDIvol) is a</w:t>
      </w:r>
      <w:r>
        <w:t xml:space="preserve"> </w:t>
      </w:r>
      <w:r>
        <w:t xml:space="preserve">scanner output, not an organ dose, and cannot express how tube-current modulation varies</w:t>
      </w:r>
      <w:r>
        <w:t xml:space="preserve"> </w:t>
      </w:r>
      <w:r>
        <w:t xml:space="preserve">along a patient. An organ-specific weighted CTDIvol has been reported before, in</w:t>
      </w:r>
      <w:r>
        <w:t xml:space="preserve"> </w:t>
      </w:r>
      <w:r>
        <w:t xml:space="preserve">single-institution cohorts and often from inputs routine archives do not retain. New is</w:t>
      </w:r>
      <w:r>
        <w:t xml:space="preserve"> </w:t>
      </w:r>
      <w:r>
        <w:t xml:space="preserve">not the quantity but what an open, multi-vendor operationalisation reveals: whether its</w:t>
      </w:r>
      <w:r>
        <w:t xml:space="preserve"> </w:t>
      </w:r>
      <w:r>
        <w:t xml:space="preserve">inputs survive archive curation, and what the fallback costs.</w:t>
      </w:r>
      <w:r>
        <w:t xml:space="preserve"> </w:t>
      </w:r>
      <w:r>
        <w:rPr>
          <w:b/>
          <w:bCs/>
        </w:rPr>
        <w:t xml:space="preserve">Methods:</w:t>
      </w:r>
      <w:r>
        <w:t xml:space="preserve"> </w:t>
      </w:r>
      <w:r>
        <w:t xml:space="preserve">Forty abdominal</w:t>
      </w:r>
      <w:r>
        <w:t xml:space="preserve"> </w:t>
      </w:r>
      <w:r>
        <w:t xml:space="preserve">CT series, ten per manufacturer, were drawn from The Cancer Imaging Archive and twelve</w:t>
      </w:r>
      <w:r>
        <w:t xml:space="preserve"> </w:t>
      </w:r>
      <w:r>
        <w:t xml:space="preserve">organs segmented with TotalSegmentator at inference. Of 480 requested organ–series</w:t>
      </w:r>
      <w:r>
        <w:t xml:space="preserve"> </w:t>
      </w:r>
      <w:r>
        <w:t xml:space="preserve">combinations, 455 were produced. A rule-based acquisition-constancy criterion admitted 39</w:t>
      </w:r>
      <w:r>
        <w:t xml:space="preserve"> </w:t>
      </w:r>
      <w:r>
        <w:t xml:space="preserve">series.</w:t>
      </w:r>
      <w:r>
        <w:t xml:space="preserve"> </w:t>
      </w:r>
      <w:r>
        <w:rPr>
          <w:b/>
          <w:bCs/>
        </w:rPr>
        <w:t xml:space="preserve">Results:</w:t>
      </w:r>
      <w:r>
        <w:t xml:space="preserve"> </w:t>
      </w:r>
      <w:r>
        <w:t xml:space="preserve">Modulation weights spanned 0.59 to 1.69, so the index departs from</w:t>
      </w:r>
      <w:r>
        <w:t xml:space="preserve"> </w:t>
      </w:r>
      <w:r>
        <w:t xml:space="preserve">the whole-scan CTDIvol by up to 70% within one acquisition. A recorded CTDIvol survived in</w:t>
      </w:r>
      <w:r>
        <w:t xml:space="preserve"> </w:t>
      </w:r>
      <w:r>
        <w:t xml:space="preserve">29 of 40 archived headers, was reconstructable in 5 and unavailable in 6, differing</w:t>
      </w:r>
      <w:r>
        <w:t xml:space="preserve"> </w:t>
      </w:r>
      <w:r>
        <w:t xml:space="preserve">markedly between manufacturers. Forcing that reconstruction on series that did retain a</w:t>
      </w:r>
      <w:r>
        <w:t xml:space="preserve"> </w:t>
      </w:r>
      <w:r>
        <w:t xml:space="preserve">value agreed within 12% on three scanner models and diverged by 58% and 84% on two others.</w:t>
      </w:r>
      <w:r>
        <w:t xml:space="preserve"> </w:t>
      </w:r>
      <w:r>
        <w:t xml:space="preserve">Estimated organ mass was broadly consistent with International Commission on Radiological</w:t>
      </w:r>
      <w:r>
        <w:t xml:space="preserve"> </w:t>
      </w:r>
      <w:r>
        <w:t xml:space="preserve">Protection (ICRP) Publication 89 for liver and kidneys.</w:t>
      </w:r>
      <w:r>
        <w:t xml:space="preserve"> </w:t>
      </w:r>
      <w:r>
        <w:rPr>
          <w:b/>
          <w:bCs/>
        </w:rPr>
        <w:t xml:space="preserve">Conclusions:</w:t>
      </w:r>
      <w:r>
        <w:t xml:space="preserve"> </w:t>
      </w:r>
      <w:r>
        <w:t xml:space="preserve">This index is not</w:t>
      </w:r>
      <w:r>
        <w:t xml:space="preserve"> </w:t>
      </w:r>
      <w:r>
        <w:t xml:space="preserve">absorbed dose;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computed tomography (CT) dose is</w:t>
      </w:r>
      <w:r>
        <w:t xml:space="preserve"> </w:t>
      </w:r>
      <w:r>
        <w:t xml:space="preserve">discussed. The first is that 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the volume CT dose index</w:t>
      </w:r>
      <w:r>
        <w:t xml:space="preserve"> </w:t>
      </w:r>
      <w:r>
        <w:t xml:space="preserve">(CTDIvol)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International Commission on Radiological Protection (ICRP) Publication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8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Solid arrows</w:t>
      </w:r>
      <w:r>
        <w:t xml:space="preserve"> </w:t>
      </w:r>
      <w:r>
        <w:t xml:space="preserve">carry the surviving data from one stage to the next; dashed arrows point from a stage to</w:t>
      </w:r>
      <w:r>
        <w:t xml:space="preserve"> </w:t>
      </w:r>
      <w:r>
        <w:t xml:space="preserve">what that stage rejects or flags, and carry no data onward. Every count is read from the</w:t>
      </w:r>
      <w:r>
        <w:t xml:space="preserve"> </w:t>
      </w:r>
      <w:r>
        <w:t xml:space="preserve">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t xml:space="preserve">The opposite tail does not admit that explanation. The smallest mass in the cohort is a</w:t>
      </w:r>
      <w:r>
        <w:t xml:space="preserve"> </w:t>
      </w:r>
      <w:r>
        <w:t xml:space="preserve">left kidney of 4.3 g on a Philips Brilliance 64 series, segmented at 4.0 cm³ and not</w:t>
      </w:r>
      <w:r>
        <w:t xml:space="preserve"> </w:t>
      </w:r>
      <w:r>
        <w:t xml:space="preserve">truncated by the scan boundary. No adult kidney is that size, so this is a failed mask</w:t>
      </w:r>
      <w:r>
        <w:t xml:space="preserve"> </w:t>
      </w:r>
      <w:r>
        <w:t xml:space="preserve">rather than unusual anatomy: the mass plausibility check flagged it, and it is the one</w:t>
      </w:r>
      <w:r>
        <w:t xml:space="preserve"> </w:t>
      </w:r>
      <w:r>
        <w:t xml:space="preserve">segmentation failure the cohort contains. It is reported here and retained in the</w:t>
      </w:r>
      <w:r>
        <w:t xml:space="preserve"> </w:t>
      </w:r>
      <w:r>
        <w:t xml:space="preserve">analysis rather than removed, because a cohort with its failures deleted cannot be</w:t>
      </w:r>
      <w:r>
        <w:t xml:space="preserve"> </w:t>
      </w:r>
      <w:r>
        <w:t xml:space="preserve">audited. Its effect is small and is stated so that the reader does not have to take that</w:t>
      </w:r>
      <w:r>
        <w:t xml:space="preserve"> </w:t>
      </w:r>
      <w:r>
        <w:t xml:space="preserve">on trust: excluding it moves the published median left-kidney modulation weight from 1.036 to</w:t>
      </w:r>
      <w:r>
        <w:t xml:space="preserve"> </w:t>
      </w:r>
      <w:r>
        <w:t xml:space="preserve">1.035.</w:t>
      </w:r>
      <w:r>
        <w:t xml:space="preserve"> </w:t>
      </w:r>
      <w:r>
        <w:t xml:space="preserve">It is annotated in the mass comparison of Section 3.5.</w:t>
      </w:r>
    </w:p>
    <w:p>
      <w:pPr>
        <w:pStyle w:val="BodyText"/>
      </w:pPr>
      <w:r>
        <w:t xml:space="preserve">That case also marks the boundary of what these checks can do. They are automated</w:t>
      </w:r>
      <w:r>
        <w:t xml:space="preserve"> </w:t>
      </w:r>
      <w:r>
        <w:t xml:space="preserve">assertions about laterality, ordering and mass, applied without a reference segmentation,</w:t>
      </w:r>
      <w:r>
        <w:t xml:space="preserve"> </w:t>
      </w:r>
      <w:r>
        <w:t xml:space="preserve">because none exists for this cohort — the images are public and de-identified, and no</w:t>
      </w:r>
      <w:r>
        <w:t xml:space="preserve"> </w:t>
      </w:r>
      <w:r>
        <w:t xml:space="preserve">manually corrected masks accompany them. Checks of that kind detect gross failure</w:t>
      </w:r>
      <w:r>
        <w:t xml:space="preserve"> </w:t>
      </w:r>
      <w:r>
        <w:t xml:space="preserve">reliably: a mirrored volume, an inverted ordering, a mask that has collapsed or leaked far</w:t>
      </w:r>
      <w:r>
        <w:t xml:space="preserve"> </w:t>
      </w:r>
      <w:r>
        <w:t xml:space="preserve">enough to move the organ’s mass outside a wide band. They cannot detect a mask that is</w:t>
      </w:r>
      <w:r>
        <w:t xml:space="preserve"> </w:t>
      </w:r>
      <w:r>
        <w:t xml:space="preserve">systematically displaced yet plausible — a boundary drawn a few millimetres into</w:t>
      </w:r>
      <w:r>
        <w:t xml:space="preserve"> </w:t>
      </w:r>
      <w:r>
        <w:t xml:space="preserve">neighbouring tissue throughout, which leaves laterality, ordering and mass all within</w:t>
      </w:r>
      <w:r>
        <w:t xml:space="preserve"> </w:t>
      </w:r>
      <w:r>
        <w:t xml:space="preserve">range. Quantifying that residual error would require a manually corrected reference</w:t>
      </w:r>
      <w:r>
        <w:t xml:space="preserve"> </w:t>
      </w:r>
      <w:r>
        <w:t xml:space="preserve">standard, which this study does not have and does not claim.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Start w:id="27" w:name="X662c2d66dd1eda3268d2087202c966cd73b2601"/>
    <w:p>
      <w:pPr>
        <w:pStyle w:val="Heading3"/>
      </w:pPr>
      <w:r>
        <w:t xml:space="preserve">2.13. 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developing the software described in Sections 2.1 to 2.12 and in drafting and</w:t>
      </w:r>
      <w:r>
        <w:t xml:space="preserve"> </w:t>
      </w:r>
      <w:r>
        <w:t xml:space="preserve">editing the text of this manuscript. It was not used to generate, impute or select any</w:t>
      </w:r>
      <w:r>
        <w:t xml:space="preserve"> </w:t>
      </w:r>
      <w:r>
        <w:t xml:space="preserve">reported value. Every number in this article is produced by executable code in the cited</w:t>
      </w:r>
      <w:r>
        <w:t xml:space="preserve"> </w:t>
      </w:r>
      <w:r>
        <w:t xml:space="preserve">repository, is re-derived from the per-series records by the automated test suite</w:t>
      </w:r>
      <w:r>
        <w:t xml:space="preserve"> </w:t>
      </w:r>
      <w:r>
        <w:t xml:space="preserve">described above, and was verified by the author against the underlying records. The</w:t>
      </w:r>
      <w:r>
        <w:t xml:space="preserve"> </w:t>
      </w:r>
      <w:r>
        <w:t xml:space="preserve">study design, the eligibility rules, the quality-control criteria and all scientific</w:t>
      </w:r>
      <w:r>
        <w:t xml:space="preserve"> </w:t>
      </w:r>
      <w:r>
        <w:t xml:space="preserve">judgements, interpretations and conclusions are the author’s, who takes full</w:t>
      </w:r>
      <w:r>
        <w:t xml:space="preserve"> </w:t>
      </w:r>
      <w:r>
        <w:t xml:space="preserve">responsibility for the content of this article.</w:t>
      </w:r>
    </w:p>
    <w:bookmarkEnd w:id="27"/>
    <w:bookmarkEnd w:id="28"/>
    <w:bookmarkStart w:id="50" w:name="results"/>
    <w:p>
      <w:pPr>
        <w:pStyle w:val="Heading2"/>
      </w:pPr>
      <w:r>
        <w:t xml:space="preserve">3. Results</w:t>
      </w:r>
    </w:p>
    <w:bookmarkStart w:id="3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2_segment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2"/>
    <w:bookmarkStart w:id="3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3_demonstration_c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6"/>
    <w:bookmarkStart w:id="4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4_dose_index_availa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40"/>
    <w:bookmarkStart w:id="41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t xml:space="preserve">The limitation of this measurement is more important than its result. A model can be</w:t>
      </w:r>
      <w:r>
        <w:t xml:space="preserve"> </w:t>
      </w:r>
      <w:r>
        <w:t xml:space="preserve">checked here only if some series in the cohort retained a recorded CTDIvol for it, and</w:t>
      </w:r>
      <w:r>
        <w:t xml:space="preserve"> </w:t>
      </w:r>
      <w:r>
        <w:t xml:space="preserve">no GE series retained one. Of the 5 series whose index rests on a reconstructed CTDIvol,</w:t>
      </w:r>
      <w:r>
        <w:t xml:space="preserve"> </w:t>
      </w:r>
      <w:r>
        <w:t xml:space="preserve">1 is a Philips iCT 256, a model measured above at a median −2.0%; the other 4 are GE, on</w:t>
      </w:r>
      <w:r>
        <w:t xml:space="preserve"> </w:t>
      </w:r>
      <w:r>
        <w:t xml:space="preserve">models the comparison cannot reach. The reconstruction is therefore unverified precisely where this study</w:t>
      </w:r>
      <w:r>
        <w:t xml:space="preserve"> </w:t>
      </w:r>
      <w:r>
        <w:t xml:space="preserve">leans on it hardest, and that is a property of what the archive kept rather than of the</w:t>
      </w:r>
      <w:r>
        <w:t xml:space="preserve"> </w:t>
      </w:r>
      <w:r>
        <w:t xml:space="preserve">method. Results resting on a reconstructed value are marked as such throughout.</w:t>
      </w:r>
    </w:p>
    <w:bookmarkEnd w:id="41"/>
    <w:bookmarkStart w:id="45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International Commission on</w:t>
      </w:r>
      <w:r>
        <w:t xml:space="preserve"> </w:t>
      </w:r>
      <w:r>
        <w:t xml:space="preserve">Radiological Protection (ICRP) Publication 89 reference adult male 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5_organ_mass_vs_icrp8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 The annotated point is the one mask the quality control of Section</w:t>
      </w:r>
      <w:r>
        <w:t xml:space="preserve"> </w:t>
      </w:r>
      <w:r>
        <w:t xml:space="preserve">2.6 flagged as a segmentation failure, retained here rather than removed.</w:t>
      </w:r>
    </w:p>
    <w:bookmarkEnd w:id="45"/>
    <w:bookmarkStart w:id="49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6_study_limi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9"/>
    <w:bookmarkEnd w:id="50"/>
    <w:bookmarkStart w:id="5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What the reconstructed values do to the index, and what they do not.</w:t>
      </w:r>
      <w:r>
        <w:t xml:space="preserve"> </w:t>
      </w:r>
      <w:r>
        <w:t xml:space="preserve">Section 3.4</w:t>
      </w:r>
      <w:r>
        <w:t xml:space="preserve"> </w:t>
      </w:r>
      <w:r>
        <w:t xml:space="preserve">measures how far a reconstructed CTDIvol departs from a recorded one; the question that</w:t>
      </w:r>
      <w:r>
        <w:t xml:space="preserve"> </w:t>
      </w:r>
      <w:r>
        <w:t xml:space="preserve">follows is what such a departure does to the index built on it, and the two halves of the</w:t>
      </w:r>
      <w:r>
        <w:t xml:space="preserve"> </w:t>
      </w:r>
      <w:r>
        <w:t xml:space="preserve">answer are of different kinds. The first is structural. The modulation weight is a ratio of</w:t>
      </w:r>
      <w:r>
        <w:t xml:space="preserve"> </w:t>
      </w:r>
      <w:r>
        <w:t xml:space="preserve">tube currents, as defined in Section 2.8, and CTDIvol does not enter it; the index is that</w:t>
      </w:r>
      <w:r>
        <w:t xml:space="preserve"> </w:t>
      </w:r>
      <w:r>
        <w:t xml:space="preserve">weight multiplied by CTDIvol. An error in CTDIvol therefore appears in the index at 1:1</w:t>
      </w:r>
      <w:r>
        <w:t xml:space="preserve"> </w:t>
      </w:r>
      <w:r>
        <w:t xml:space="preserve">and cannot reach the weight at all, so the modulation results of Section 3.2 are</w:t>
      </w:r>
      <w:r>
        <w:t xml:space="preserve"> </w:t>
      </w:r>
      <w:r>
        <w:t xml:space="preserve">independent of it by construction rather than by measurement. The second half is</w:t>
      </w:r>
      <w:r>
        <w:t xml:space="preserve"> </w:t>
      </w:r>
      <w:r>
        <w:t xml:space="preserve">empirical, and concerns how much of the cohort is exposed. Of the 33 series carrying an</w:t>
      </w:r>
      <w:r>
        <w:t xml:space="preserve"> </w:t>
      </w:r>
      <w:r>
        <w:t xml:space="preserve">index, 4 rest on a reconstructed CTDIvol, covering 44 of 334 organ records. Recomputing</w:t>
      </w:r>
      <w:r>
        <w:t xml:space="preserve"> </w:t>
      </w:r>
      <w:r>
        <w:t xml:space="preserve">every table over the series with a recorded value alone moves the per-organ median</w:t>
      </w:r>
      <w:r>
        <w:t xml:space="preserve"> </w:t>
      </w:r>
      <w:r>
        <w:t xml:space="preserve">modulation weight by at most 0.048 and the per-organ median anatomy-weighted CTDIvol by at</w:t>
      </w:r>
      <w:r>
        <w:t xml:space="preserve"> </w:t>
      </w:r>
      <w:r>
        <w:t xml:space="preserve">most 1.11 mGy. The conclusions of this study do not depend on those 4 series — but the</w:t>
      </w:r>
      <w:r>
        <w:t xml:space="preserve"> </w:t>
      </w:r>
      <w:r>
        <w:t xml:space="preserve">reason for saying so is not that they can be discarded. Removing them removes GE from the</w:t>
      </w:r>
      <w:r>
        <w:t xml:space="preserve"> </w:t>
      </w:r>
      <w:r>
        <w:t xml:space="preserve">weighted tables entirely, from 3 series to none, because no GE series in this cohort</w:t>
      </w:r>
      <w:r>
        <w:t xml:space="preserve"> </w:t>
      </w:r>
      <w:r>
        <w:t xml:space="preserve">retained a recorded CTDIvol at all. The multi-vendor reach of the modulation results rests</w:t>
      </w:r>
      <w:r>
        <w:t xml:space="preserve"> </w:t>
      </w:r>
      <w:r>
        <w:t xml:space="preserve">on values whose accuracy Section 3.4 could not check, and that is the honest statement of</w:t>
      </w:r>
      <w:r>
        <w:t xml:space="preserve"> </w:t>
      </w:r>
      <w:r>
        <w:t xml:space="preserve">where this study is weakest.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design is balanced by</w:t>
      </w:r>
      <w:r>
        <w:t xml:space="preserve"> </w:t>
      </w:r>
      <w:r>
        <w:t xml:space="preserve">manufacturer and not by scanner model, and the two are not interchangeable: those ten</w:t>
      </w:r>
      <w:r>
        <w:t xml:space="preserve"> </w:t>
      </w:r>
      <w:r>
        <w:t xml:space="preserve">series per manufacturer are spread over 9 distinct GE models, 6 Siemens, 4 Canon/Toshiba</w:t>
      </w:r>
      <w:r>
        <w:t xml:space="preserve"> </w:t>
      </w:r>
      <w:r>
        <w:t xml:space="preserve">and 4 Philips, so most individual models are represented by one to three series. Anything</w:t>
      </w:r>
      <w:r>
        <w:t xml:space="preserve"> </w:t>
      </w:r>
      <w:r>
        <w:t xml:space="preserve">stated here about a manufacturer is therefore a statement about a small, model-diverse</w:t>
      </w:r>
      <w:r>
        <w:t xml:space="preserve"> </w:t>
      </w:r>
      <w:r>
        <w:t xml:space="preserve">sample of that manufacturer’s installed base, and nothing in this study supports a claim</w:t>
      </w:r>
      <w:r>
        <w:t xml:space="preserve"> </w:t>
      </w:r>
      <w:r>
        <w:t xml:space="preserve">at the level of a particular scanner model.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1"/>
    <w:bookmarkStart w:id="5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3"/>
    <w:bookmarkStart w:id="5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4"/>
    <w:bookmarkStart w:id="55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5"/>
    <w:bookmarkStart w:id="56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6"/>
    <w:bookmarkStart w:id="57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v0.1.2 (commit 0ca9d57ef9fbc1a321cd5b671d21eb5857def518), archived at Zenodo under</w:t>
      </w:r>
      <w:r>
        <w:t xml:space="preserve"> </w:t>
      </w:r>
      <w:r>
        <w:t xml:space="preserve">10.5281/zenodo.22143005.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7"/>
    <w:bookmarkStart w:id="58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8"/>
    <w:bookmarkStart w:id="59" w:name="X403f50173cc9f6c2dda70a807554c26161ce17d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the development of the software and in drafting and editing the text of this</w:t>
      </w:r>
      <w:r>
        <w:t xml:space="preserve"> </w:t>
      </w:r>
      <w:r>
        <w:t xml:space="preserve">manuscript. All reported results are produced by executable code contained in the cited</w:t>
      </w:r>
      <w:r>
        <w:t xml:space="preserve"> </w:t>
      </w:r>
      <w:r>
        <w:t xml:space="preserve">repository, are re-derived from the underlying per-series records by an automated test</w:t>
      </w:r>
      <w:r>
        <w:t xml:space="preserve"> </w:t>
      </w:r>
      <w:r>
        <w:t xml:space="preserve">suite, and were verified by the author. All scientific judgements, interpretations and</w:t>
      </w:r>
      <w:r>
        <w:t xml:space="preserve"> </w:t>
      </w:r>
      <w:r>
        <w:t xml:space="preserve">conclusions are the author’s, who takes full responsibility for the content of this</w:t>
      </w:r>
      <w:r>
        <w:t xml:space="preserve"> </w:t>
      </w:r>
      <w:r>
        <w:t xml:space="preserve">article.</w: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2026-08-29T03:59:57Z</dcterms:created>
  <dcterms:modified xsi:type="dcterms:W3CDTF">2026-08-29T03:59:57Z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