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 patient or organ dose, and cannot express how</w:t>
      </w:r>
      <w:r>
        <w:t xml:space="preserve"> </w:t>
      </w:r>
      <w:r>
        <w:t xml:space="preserve">tube-current modulation varies along a patient. An organ-specific weighted CTDIvol</w:t>
      </w:r>
      <w:r>
        <w:t xml:space="preserve"> </w:t>
      </w:r>
      <w:r>
        <w:t xml:space="preserve">addressing this problem has been reported previously, but primarily in single-institution</w:t>
      </w:r>
      <w:r>
        <w:t xml:space="preserve"> </w:t>
      </w:r>
      <w:r>
        <w:t xml:space="preserve">cohorts and often using inputs that routine image archives do not retain. We</w:t>
      </w:r>
      <w:r>
        <w:t xml:space="preserve"> </w:t>
      </w:r>
      <w:r>
        <w:t xml:space="preserve">operationalised it openly across manufacturers, from routine DICOM metadata and automated</w:t>
      </w:r>
      <w:r>
        <w:t xml:space="preserve"> </w:t>
      </w:r>
      <w:r>
        <w:t xml:space="preserve">segmentation alone; it is not an estimate of absorbed organ dose. Forty abdominal CT</w:t>
      </w:r>
      <w:r>
        <w:t xml:space="preserve"> </w:t>
      </w:r>
      <w:r>
        <w:t xml:space="preserve">series, ten per manufacturer, were drawn from The Cancer Imaging Archive and twelve organs</w:t>
      </w:r>
      <w:r>
        <w:t xml:space="preserve"> </w:t>
      </w:r>
      <w:r>
        <w:t xml:space="preserve">segmented with TotalSegmentator at inference only. Of 480 requested organ–series</w:t>
      </w:r>
      <w:r>
        <w:t xml:space="preserve"> </w:t>
      </w:r>
      <w:r>
        <w:t xml:space="preserve">combinations, 455 records were produced. A rule-based acquisition-constancy</w:t>
      </w:r>
      <w:r>
        <w:t xml:space="preserve"> </w:t>
      </w:r>
      <w:r>
        <w:t xml:space="preserve">criterion admitted 39 of the 40 series to the quantitative modulation analysis. Modulation</w:t>
      </w:r>
      <w:r>
        <w:t xml:space="preserve"> </w:t>
      </w:r>
      <w:r>
        <w:t xml:space="preserve">weights spanned 0.59 to 1.69, so the index departs from the whole-scan CTDIvol by up to</w:t>
      </w:r>
      <w:r>
        <w:t xml:space="preserve"> </w:t>
      </w:r>
      <w:r>
        <w:t xml:space="preserve">70% within one acquisition. A recorded CTDIvol was retained in the archived headers of 29</w:t>
      </w:r>
      <w:r>
        <w:t xml:space="preserve"> </w:t>
      </w:r>
      <w:r>
        <w:t xml:space="preserve">of 40 series, reconstructable in 5 and unavailable in 6, with availability differing</w:t>
      </w:r>
      <w:r>
        <w:t xml:space="preserve"> </w:t>
      </w:r>
      <w:r>
        <w:t xml:space="preserve">markedly between manufacturers in this sample. Estimated organ mass was broadly consistent</w:t>
      </w:r>
      <w:r>
        <w:t xml:space="preserve"> </w:t>
      </w:r>
      <w:r>
        <w:t xml:space="preserve">with ICRP 89 values for liver and kidneys. Conversion to absorbed organ dose requires</w:t>
      </w:r>
      <w:r>
        <w:t xml:space="preserve"> </w:t>
      </w:r>
      <w:r>
        <w:t xml:space="preserve">Monte-Carlo coefficients this index does not replace; the 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Angel et al. showed that tube-current modulation</w:t>
      </w:r>
      <w:r>
        <w:t xml:space="preserve"> </w:t>
      </w:r>
      <w:r>
        <w:t xml:space="preserve">changes organ dose substantially and size-dependently [2]. Khatonabadi et al. demonstrated</w:t>
      </w:r>
      <w:r>
        <w:t xml:space="preserve"> </w:t>
      </w:r>
      <w:r>
        <w:t xml:space="preserve">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</w:t>
      </w:r>
      <w:r>
        <w:t xml:space="preserve"> </w:t>
      </w:r>
      <w:r>
        <w:t xml:space="preserve">organ’s own location, tracks Monte-Carlo organ dose far better than the whole-scan value,</w:t>
      </w:r>
      <w:r>
        <w:t xml:space="preserve"> </w:t>
      </w:r>
      <w:r>
        <w:t xml:space="preserve">raising the coefficient of determination for liver dose from 0.26 to 0.86 [3]. Tian et al.</w:t>
      </w:r>
      <w:r>
        <w:t xml:space="preserve"> </w:t>
      </w:r>
      <w:r>
        <w:t xml:space="preserve">formalised a</w:t>
      </w:r>
      <w:r>
        <w:t xml:space="preserve"> </w:t>
      </w:r>
      <w:r>
        <w:rPr>
          <w:b/>
          <w:bCs/>
        </w:rPr>
        <w:t xml:space="preserve">weighted organ-specific CTDIvol</w:t>
      </w:r>
      <w:r>
        <w:t xml:space="preserve"> </w:t>
      </w:r>
      <w:r>
        <w:t xml:space="preserve">computed from the modulation profile and</w:t>
      </w:r>
      <w:r>
        <w:t xml:space="preserve"> </w:t>
      </w:r>
      <w:r>
        <w:t xml:space="preserve">used it, with organ-dose coefficients, to predict organ dose prospectively [4]. Related</w:t>
      </w:r>
      <w:r>
        <w:t xml:space="preserve"> </w:t>
      </w:r>
      <w:r>
        <w:t xml:space="preserve">work has validated Monte-Carlo modelling of modulation [5], generalised organ-dose</w:t>
      </w:r>
      <w:r>
        <w:t xml:space="preserve"> </w:t>
      </w:r>
      <w:r>
        <w:t xml:space="preserve">estimation under modulation using patient-size descriptors [6], and recovered tube-current</w:t>
      </w:r>
      <w:r>
        <w:t xml:space="preserve"> </w:t>
      </w:r>
      <w:r>
        <w:t xml:space="preserve">profiles where they were not directly available [7].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[8].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[9]. Eom et al. incorporated TotalSegmentator into an automated effective-dose</w:t>
      </w:r>
      <w:r>
        <w:t xml:space="preserve"> </w:t>
      </w:r>
      <w:r>
        <w:t xml:space="preserve">calculation on clinical PET/CT [10].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[11], built on nnU-Net [12],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2.10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phantoms and corrected for patient size [13,14,15].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An open, end-to-end implementation of the organ-specific weighted CTDIvol computed</w:t>
      </w:r>
      <w:r>
        <w:t xml:space="preserve"> </w:t>
      </w:r>
      <w:r>
        <w:t xml:space="preserve">entirely from data a scanner already records, requiring neither projection data nor</w:t>
      </w:r>
      <w:r>
        <w:t xml:space="preserve"> </w:t>
      </w:r>
      <w:r>
        <w:t xml:space="preserve">manual contouring.</w:t>
      </w:r>
    </w:p>
    <w:p>
      <w:pPr>
        <w:pStyle w:val="Compact"/>
        <w:numPr>
          <w:ilvl w:val="0"/>
          <w:numId w:val="1001"/>
        </w:numPr>
      </w:pPr>
      <w:r>
        <w:t xml:space="preserve">A multi-vendor empirical characterisation of that quantity on public archive data:</w:t>
      </w:r>
      <w:r>
        <w:t xml:space="preserve"> </w:t>
      </w:r>
      <w:r>
        <w:t xml:space="preserve">its range, its within-acquisition spread and its behaviour across four manufacturers.</w:t>
      </w:r>
    </w:p>
    <w:p>
      <w:pPr>
        <w:pStyle w:val="Compact"/>
        <w:numPr>
          <w:ilvl w:val="0"/>
          <w:numId w:val="1001"/>
        </w:numPr>
      </w:pPr>
      <w:r>
        <w:t xml:space="preserve">A description, for this archive sample, of how often the required inputs are actually</w:t>
      </w:r>
      <w:r>
        <w:t xml:space="preserve"> </w:t>
      </w:r>
      <w:r>
        <w:t xml:space="preserve">retained in archived DICOM headers — a precondition for any retrospective study of</w:t>
      </w:r>
      <w:r>
        <w:t xml:space="preserve"> </w:t>
      </w:r>
      <w:r>
        <w:t xml:space="preserve">this kind, and one that has not been well characterised.</w:t>
      </w:r>
    </w:p>
    <w:p>
      <w:pPr>
        <w:pStyle w:val="Compact"/>
        <w:numPr>
          <w:ilvl w:val="0"/>
          <w:numId w:val="1001"/>
        </w:numPr>
      </w:pPr>
      <w:r>
        <w:t xml:space="preserve">A rule-based acquisition-constancy criterion that makes the assumption underlying the</w:t>
      </w:r>
      <w:r>
        <w:t xml:space="preserve"> </w:t>
      </w:r>
      <w:r>
        <w:t xml:space="preserve">weighting testable rather than implicit.</w:t>
      </w:r>
    </w:p>
    <w:p>
      <w:pPr>
        <w:pStyle w:val="Compact"/>
        <w:numPr>
          <w:ilvl w:val="0"/>
          <w:numId w:val="1001"/>
        </w:numPr>
      </w:pPr>
      <w:r>
        <w:t xml:space="preserve">An external reference comparison of attenuation-derived estimated organ mass against</w:t>
      </w:r>
      <w:r>
        <w:t xml:space="preserve"> </w:t>
      </w:r>
      <w:r>
        <w:t xml:space="preserve">ICRP 89 reference values [16], and the practical limits an organ-level modulation</w:t>
      </w:r>
      <w:r>
        <w:t xml:space="preserve"> </w:t>
      </w:r>
      <w:r>
        <w:t xml:space="preserve">analysis must handle.</w:t>
      </w:r>
    </w:p>
    <w:bookmarkEnd w:id="10"/>
    <w:bookmarkStart w:id="22" w:name="materials-and-methods"/>
    <w:p>
      <w:pPr>
        <w:pStyle w:val="Heading2"/>
      </w:pPr>
      <w:r>
        <w:t xml:space="preserve">2. Materials and Methods</w:t>
      </w:r>
    </w:p>
    <w:bookmarkStart w:id="11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</w:t>
      </w:r>
    </w:p>
    <w:p>
      <w:pPr>
        <w:pStyle w:val="BodyText"/>
      </w:pPr>
      <w:r>
        <w:t xml:space="preserve">All imaging was drawn from The Cancer Imaging Archive [17].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[18]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bookmarkEnd w:id="11"/>
    <w:bookmarkStart w:id="12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2"/>
    <w:bookmarkStart w:id="13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3"/>
    <w:bookmarkStart w:id="14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4"/>
    <w:bookmarkStart w:id="15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[11],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 Inference runs in a separate child process, because nnU-Net spawns its own</w:t>
      </w:r>
      <w:r>
        <w:t xml:space="preserve"> </w:t>
      </w:r>
      <w:r>
        <w:t xml:space="preserve">workers and doing so from a long-lived parent leaks processes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[19]. Figure 1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5"/>
    <w:bookmarkStart w:id="16" w:name="attenuation-derived-estimated-organ-mass"/>
    <w:p>
      <w:pPr>
        <w:pStyle w:val="Heading3"/>
      </w:pPr>
      <w:r>
        <w:t xml:space="preserve">2.6.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[20] and the</w:t>
      </w:r>
      <w:r>
        <w:t xml:space="preserve"> </w:t>
      </w:r>
      <w:r>
        <w:t xml:space="preserve">construction from Schneider et al. [21].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16"/>
    <w:bookmarkStart w:id="17" w:name="the-anatomy-weighted-ctdivol-index"/>
    <w:p>
      <w:pPr>
        <w:pStyle w:val="Heading3"/>
      </w:pPr>
      <w:r>
        <w:t xml:space="preserve">2.7. The Anatomy-Weighted CTDIvol Index</w:t>
      </w:r>
    </w:p>
    <w:p>
      <w:pPr>
        <w:pStyle w:val="FirstParagraph"/>
      </w:pPr>
      <w:r>
        <w:t xml:space="preserve">For an organ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occupying slices with per-slice voxel counts</w:t>
      </w:r>
      <w:r>
        <w:t xml:space="preserve"> </w:t>
      </w:r>
      <w:r>
        <w:rPr>
          <w:i/>
          <w:iCs/>
        </w:rPr>
        <w:t xml:space="preserve">n_o(z)</w:t>
      </w:r>
      <w:r>
        <w:t xml:space="preserve">, and a series with</w:t>
      </w:r>
      <w:r>
        <w:t xml:space="preserve"> </w:t>
      </w:r>
      <w:r>
        <w:t xml:space="preserve">per-slice tube current</w:t>
      </w:r>
      <w:r>
        <w:t xml:space="preserve"> </w:t>
      </w:r>
      <w:r>
        <w:rPr>
          <w:i/>
          <w:iCs/>
        </w:rPr>
        <w:t xml:space="preserve">I(z)</w:t>
      </w:r>
      <w:r>
        <w:t xml:space="preserve">, the organ-specific modulation weight is</w:t>
      </w:r>
    </w:p>
    <w:p>
      <w:pPr>
        <w:pStyle w:val="BodyText"/>
      </w:pPr>
      <w:r>
        <w:rPr>
          <w:i/>
          <w:iCs/>
        </w:rPr>
        <w:t xml:space="preserve">w_o</w:t>
      </w:r>
      <w:r>
        <w:t xml:space="preserve"> </w:t>
      </w:r>
      <w:r>
        <w:t xml:space="preserve">= [ Σ_z</w:t>
      </w:r>
      <w:r>
        <w:t xml:space="preserve"> </w:t>
      </w:r>
      <w:r>
        <w:rPr>
          <w:i/>
          <w:iCs/>
        </w:rPr>
        <w:t xml:space="preserve">n_o(z) I(z)</w:t>
      </w:r>
      <w:r>
        <w:t xml:space="preserve"> </w:t>
      </w:r>
      <w:r>
        <w:t xml:space="preserve">/ Σ_z</w:t>
      </w:r>
      <w:r>
        <w:t xml:space="preserve"> </w:t>
      </w:r>
      <w:r>
        <w:rPr>
          <w:i/>
          <w:iCs/>
        </w:rPr>
        <w:t xml:space="preserve">n_o(z)</w:t>
      </w:r>
      <w:r>
        <w:t xml:space="preserve"> </w:t>
      </w:r>
      <w:r>
        <w:t xml:space="preserve">] / mean_z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and the anatomy-weighted CTDIvol index is CTDIvol ·</w:t>
      </w:r>
      <w:r>
        <w:t xml:space="preserve"> </w:t>
      </w:r>
      <w:r>
        <w:rPr>
          <w:i/>
          <w:iCs/>
        </w:rPr>
        <w:t xml:space="preserve">w_o</w:t>
      </w:r>
      <w:r>
        <w:t xml:space="preserve">. The weight is dimensionless and</w:t>
      </w:r>
      <w:r>
        <w:t xml:space="preserve"> </w:t>
      </w:r>
      <w:r>
        <w:t xml:space="preserve">is the transferable quantity: it expresses the recorded longitudinal tube-current</w:t>
      </w:r>
      <w:r>
        <w:t xml:space="preserve"> </w:t>
      </w:r>
      <w:r>
        <w:t xml:space="preserve">conditions over the organ relative to the scan mean, independently of the scanner’s own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17"/>
    <w:bookmarkStart w:id="18" w:name="the-acquisition-constancy-criterion"/>
    <w:p>
      <w:pPr>
        <w:pStyle w:val="Heading3"/>
      </w:pPr>
      <w:r>
        <w:t xml:space="preserve">2.8.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 The tolerance is not fitted to these data:</w:t>
      </w:r>
      <w:r>
        <w:t xml:space="preserve"> </w:t>
      </w:r>
      <w:r>
        <w:t xml:space="preserve">any value between roughly 1% and 50% classifies this cohort identically, because the only</w:t>
      </w:r>
      <w:r>
        <w:t xml:space="preserve"> </w:t>
      </w:r>
      <w:r>
        <w:t xml:space="preserve">material variation 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[22];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18"/>
    <w:bookmarkStart w:id="19" w:name="organ-record-flow"/>
    <w:p>
      <w:pPr>
        <w:pStyle w:val="Heading3"/>
      </w:pPr>
      <w:r>
        <w:t xml:space="preserve">2.9.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19"/>
    <w:bookmarkStart w:id="20" w:name="Xac99610bd1667e2236e31b4cc065aa132b167b5"/>
    <w:p>
      <w:pPr>
        <w:pStyle w:val="Heading3"/>
      </w:pPr>
      <w:r>
        <w:t xml:space="preserve">2.10.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0"/>
    <w:bookmarkStart w:id="21" w:name="verification-and-reproducibility"/>
    <w:p>
      <w:pPr>
        <w:pStyle w:val="Heading3"/>
      </w:pPr>
      <w:r>
        <w:t xml:space="preserve">2.11.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acquisition, organ, analysis and figure layers are regenerated by</w:t>
      </w:r>
      <w:r>
        <w:t xml:space="preserve"> </w:t>
      </w:r>
      <w:r>
        <w:rPr>
          <w:rStyle w:val="VerbatimChar"/>
        </w:rPr>
        <w:t xml:space="preserve">tools/select_and_download.py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tools/run_organ_dose.py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tools/make_figures.py</w:t>
      </w:r>
      <w:r>
        <w:t xml:space="preserve"> </w:t>
      </w:r>
      <w:r>
        <w:t xml:space="preserve">respectively; the acquisition-parameter check by</w:t>
      </w:r>
      <w:r>
        <w:t xml:space="preserve"> </w:t>
      </w:r>
      <w:r>
        <w:rPr>
          <w:rStyle w:val="VerbatimChar"/>
        </w:rPr>
        <w:t xml:space="preserve">tools/verify_acquisition_constancy.py</w:t>
      </w:r>
      <w:r>
        <w:t xml:space="preserve">. The repository, its release tag, commit hash and</w:t>
      </w:r>
      <w:r>
        <w:t xml:space="preserve"> </w:t>
      </w:r>
      <w:r>
        <w:t xml:space="preserve">archived version DOI are given in the Data Availability Statement.</w:t>
      </w:r>
    </w:p>
    <w:bookmarkEnd w:id="21"/>
    <w:bookmarkEnd w:id="22"/>
    <w:bookmarkStart w:id="43" w:name="results"/>
    <w:p>
      <w:pPr>
        <w:pStyle w:val="Heading2"/>
      </w:pPr>
      <w:r>
        <w:t xml:space="preserve">3. Results</w:t>
      </w:r>
    </w:p>
    <w:bookmarkStart w:id="26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2.9.</w:t>
      </w:r>
      <w:r>
        <w:t xml:space="preserve"> </w:t>
      </w:r>
      <w:r>
        <w:t xml:space="preserve">Figure 1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2.8.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1_segment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2.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26"/>
    <w:bookmarkStart w:id="30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2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_demonstration_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0"/>
    <w:bookmarkStart w:id="34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3).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_dose_index_availabilit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4"/>
    <w:bookmarkStart w:id="38" w:name="X70cbf5043a3c777e943a08818979130bc3ea1a7"/>
    <w:p>
      <w:pPr>
        <w:pStyle w:val="Heading3"/>
      </w:pPr>
      <w:r>
        <w:t xml:space="preserve">3.4. External Reference Comparison of Estimated Organ Mass</w:t>
      </w:r>
    </w:p>
    <w:p>
      <w:pPr>
        <w:pStyle w:val="FirstParagraph"/>
      </w:pPr>
      <w:r>
        <w:t xml:space="preserve">Table 1 and Figure 4 place attenuation-derived estimated organ mass beside the ICRP 89</w:t>
      </w:r>
      <w:r>
        <w:t xml:space="preserve"> </w:t>
      </w:r>
      <w:r>
        <w:t xml:space="preserve">reference adult male values [16],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organ_mass_vs_icrp8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38"/>
    <w:bookmarkStart w:id="42" w:name="Xe502f279f709e96f2f22f37520e1c85ca7cf199"/>
    <w:p>
      <w:pPr>
        <w:pStyle w:val="Heading3"/>
      </w:pPr>
      <w:r>
        <w:t xml:space="preserve">3.5.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5).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5_study_limi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2"/>
    <w:bookmarkEnd w:id="43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Those studies, and the related modulation</w:t>
      </w:r>
      <w:r>
        <w:t xml:space="preserve"> </w:t>
      </w:r>
      <w:r>
        <w:t xml:space="preserve">dosimetry of Angel et al. [2] and Bostani et al. [5,6], worked from single-institution</w:t>
      </w:r>
      <w:r>
        <w:t xml:space="preserve"> </w:t>
      </w:r>
      <w:r>
        <w:t xml:space="preserve">cohorts with one or two scanner models and manual or semi-automatic contours, in several</w:t>
      </w:r>
      <w:r>
        <w:t xml:space="preserve"> </w:t>
      </w:r>
      <w:r>
        <w:t xml:space="preserve">cases using raw projection data or vendor-supplied modulation profiles that archived DICOM</w:t>
      </w:r>
      <w:r>
        <w:t xml:space="preserve"> </w:t>
      </w:r>
      <w:r>
        <w:t xml:space="preserve">does not retain. Here the same quantity is obtained from archived headers alone, across</w:t>
      </w:r>
      <w:r>
        <w:t xml:space="preserve"> </w:t>
      </w:r>
      <w:r>
        <w:t xml:space="preserve">four manufacturers and 23 scanner 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[8]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[9]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[10]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2.10,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[11]),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[20] and Schneider et</w:t>
      </w:r>
      <w:r>
        <w:t xml:space="preserve"> </w:t>
      </w:r>
      <w:r>
        <w:t xml:space="preserve">al. [21]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established by Turner et al. [13] and extended over larger patient</w:t>
      </w:r>
      <w:r>
        <w:t xml:space="preserve"> </w:t>
      </w:r>
      <w:r>
        <w:t xml:space="preserve">model libraries by Tian et al. [14], together with the transport considerations listed in</w:t>
      </w:r>
      <w:r>
        <w:t xml:space="preserve"> </w:t>
      </w:r>
      <w:r>
        <w:t xml:space="preserve">Section 2.9.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[22],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2.10,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44"/>
    <w:bookmarkStart w:id="4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45"/>
    <w:bookmarkStart w:id="4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7"/>
    <w:bookmarkStart w:id="48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8"/>
    <w:bookmarkStart w:id="49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9"/>
    <w:bookmarkStart w:id="5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v0.1.1 (commit 46edee6423ddc19b47efae180d8edf527299d066), archived at Zenodo under</w:t>
      </w:r>
      <w:r>
        <w:t xml:space="preserve"> </w:t>
      </w:r>
      <w:r>
        <w:t xml:space="preserve">10.5281/zenodo.21817307.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[11].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0"/>
    <w:bookmarkStart w:id="51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1"/>
    <w:bookmarkStart w:id="52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Angel, E.; Yaghmai, N.; Jude, C.M.; DeMarco, J.J.; Cagnon, C.H.; Goldin, J.G.; Primak,</w:t>
      </w:r>
      <w:r>
        <w:t xml:space="preserve"> </w:t>
      </w:r>
      <w:r>
        <w:t xml:space="preserve">A.N.; Stevens, D.M.; Cody, D.D.; McCollough, C.H.; McNitt-Gray, M.F. Monte Carlo</w:t>
      </w:r>
      <w:r>
        <w:t xml:space="preserve"> </w:t>
      </w:r>
      <w:r>
        <w:t xml:space="preserve">Simulations to Assess the Effects of Tube Current Modulation on Breast Dose for</w:t>
      </w:r>
      <w:r>
        <w:t xml:space="preserve"> </w:t>
      </w:r>
      <w:r>
        <w:t xml:space="preserve">Multidetector CT.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54</w:t>
      </w:r>
      <w:r>
        <w:t xml:space="preserve">, 497–512.</w:t>
      </w:r>
      <w:r>
        <w:t xml:space="preserve"> </w:t>
      </w:r>
      <w:r>
        <w:t xml:space="preserve">https://doi.org/10.1088/0031-9155/54/3/003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DeMarco, J.J.; Cagnon, C.H.; McNitt-Gray, M.F. Validation of</w:t>
      </w:r>
      <w:r>
        <w:t xml:space="preserve"> </w:t>
      </w:r>
      <w:r>
        <w:t xml:space="preserve">a Monte Carlo Model Used for Simulating Tube Current Modulation in Computed Tomography</w:t>
      </w:r>
      <w:r>
        <w:t xml:space="preserve"> </w:t>
      </w:r>
      <w:r>
        <w:t xml:space="preserve">over a Wide Range of Phantom Conditions/Challenges.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https://doi.org/10.1118/1.4887807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Lu, P.; Kim, G.H.J.; Cody, D.; Arbique, G.; Greenberg, S.B.;</w:t>
      </w:r>
      <w:r>
        <w:t xml:space="preserve"> </w:t>
      </w:r>
      <w:r>
        <w:t xml:space="preserve">DeMarco, J.J.; Cagnon, C.H.; McNitt-Gray, M.F. Estimating Organ Doses from Tube Current</w:t>
      </w:r>
      <w:r>
        <w:t xml:space="preserve"> </w:t>
      </w:r>
      <w:r>
        <w:t xml:space="preserve">Modulated CT Examinations Using a Generalized Linear Model.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</w:t>
      </w:r>
      <w:r>
        <w:t xml:space="preserve"> </w:t>
      </w:r>
      <w:r>
        <w:t xml:space="preserve">1500–1513. https://doi.org/10.1002/mp.12119</w:t>
      </w:r>
    </w:p>
    <w:p>
      <w:pPr>
        <w:pStyle w:val="Compact"/>
        <w:numPr>
          <w:ilvl w:val="0"/>
          <w:numId w:val="1002"/>
        </w:numPr>
      </w:pPr>
      <w:r>
        <w:t xml:space="preserve">McMillan, K.; Bostani, M.; Cagnon, C.H.; Yu, L.; Leng, S.; McCollough, C.H.;</w:t>
      </w:r>
      <w:r>
        <w:t xml:space="preserve"> </w:t>
      </w:r>
      <w:r>
        <w:t xml:space="preserve">McNitt-Gray, M.F. Estimating Patient Dose from CT Exams That Use Automatic Exposure</w:t>
      </w:r>
      <w:r>
        <w:t xml:space="preserve"> </w:t>
      </w:r>
      <w:r>
        <w:t xml:space="preserve">Control: Development and Validation of Methods to Accurately Estimate Tube Current</w:t>
      </w:r>
      <w:r>
        <w:t xml:space="preserve"> </w:t>
      </w:r>
      <w:r>
        <w:t xml:space="preserve">Values.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 4262–4275. https://doi.org/10.1002/mp.12314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Turner, A.C.; Zhang, D.; Khatonabadi, M.; Zankl, M.; DeMarco, J.J.; Cagnon, C.H.; Cody,</w:t>
      </w:r>
      <w:r>
        <w:t xml:space="preserve"> </w:t>
      </w:r>
      <w:r>
        <w:t xml:space="preserve">D.D.; Stevens, D.M.; McCollough, C.H.; McNitt-Gray, M.F. The Feasibility of Patient</w:t>
      </w:r>
      <w:r>
        <w:t xml:space="preserve"> </w:t>
      </w:r>
      <w:r>
        <w:t xml:space="preserve">Size-Corrected, Scanner-Independent Organ Dose Estimates for Abdominal CT Exams.</w:t>
      </w:r>
      <w: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Phys.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820–829. https://doi.org/10.1118/1.3533897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Paulson, E.K.; Samei, E. Dose Coefficients</w:t>
      </w:r>
      <w:r>
        <w:t xml:space="preserve"> </w:t>
      </w:r>
      <w:r>
        <w:t xml:space="preserve">in Pediatric and Adult Abdominopelvic CT Based on 100 Patient Models.</w:t>
      </w:r>
      <w:r>
        <w:t xml:space="preserve"> </w:t>
      </w:r>
      <w:r>
        <w:rPr>
          <w:i/>
          <w:iCs/>
        </w:rPr>
        <w:t xml:space="preserve">Phys. Med.</w:t>
      </w:r>
      <w:r>
        <w:rPr>
          <w:i/>
          <w:iCs/>
        </w:rPr>
        <w:t xml:space="preserve"> </w:t>
      </w:r>
      <w:r>
        <w:rPr>
          <w:i/>
          <w:iCs/>
        </w:rPr>
        <w:t xml:space="preserve">Biol.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 8755–8768. https://doi.org/10.1088/0031-9155/58/24/8755</w:t>
      </w:r>
    </w:p>
    <w:p>
      <w:pPr>
        <w:pStyle w:val="Compact"/>
        <w:numPr>
          <w:ilvl w:val="0"/>
          <w:numId w:val="1002"/>
        </w:numPr>
      </w:pPr>
      <w:r>
        <w:t xml:space="preserve">Sahbaee, P.; Segars, W.P.; Samei, E. Patient-Based Estimation of Organ Dose for a</w:t>
      </w:r>
      <w:r>
        <w:t xml:space="preserve"> </w:t>
      </w:r>
      <w:r>
        <w:t xml:space="preserve">Population of 58 Adult Patients across 13 Protocol Categories.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072104. https://doi.org/10.1118/1.4883778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2101">
    <w:nsid w:val="A9941112101"/>
    <w:multiLevelType w:val="multilevel"/>
    <w:lvl w:ilvl="0">
      <w:start w:val="112101"/>
      <w:numFmt w:val="decimal"/>
      <w:lvlText w:val="%1."/>
      <w:lvlJc w:val="left"/>
      <w:pPr>
        <w:ind w:left="720" w:hanging="360"/>
      </w:pPr>
    </w:lvl>
    <w:lvl w:ilvl="1">
      <w:start w:val="112101"/>
      <w:numFmt w:val="decimal"/>
      <w:lvlText w:val="%2."/>
      <w:lvlJc w:val="left"/>
      <w:pPr>
        <w:ind w:left="1440" w:hanging="360"/>
      </w:pPr>
    </w:lvl>
    <w:lvl w:ilvl="2">
      <w:start w:val="112101"/>
      <w:numFmt w:val="decimal"/>
      <w:lvlText w:val="%3."/>
      <w:lvlJc w:val="left"/>
      <w:pPr>
        <w:ind w:left="2160" w:hanging="360"/>
      </w:pPr>
    </w:lvl>
    <w:lvl w:ilvl="3">
      <w:start w:val="112101"/>
      <w:numFmt w:val="decimal"/>
      <w:lvlText w:val="%4."/>
      <w:lvlJc w:val="left"/>
      <w:pPr>
        <w:ind w:left="2880" w:hanging="360"/>
      </w:pPr>
    </w:lvl>
    <w:lvl w:ilvl="4">
      <w:start w:val="112101"/>
      <w:numFmt w:val="decimal"/>
      <w:lvlText w:val="%5."/>
      <w:lvlJc w:val="left"/>
      <w:pPr>
        <w:ind w:left="3600" w:hanging="360"/>
      </w:pPr>
    </w:lvl>
    <w:lvl w:ilvl="5">
      <w:start w:val="112101"/>
      <w:numFmt w:val="decimal"/>
      <w:lvlText w:val="%6."/>
      <w:lvlJc w:val="left"/>
      <w:pPr>
        <w:ind w:left="4320" w:hanging="360"/>
      </w:pPr>
    </w:lvl>
    <w:lvl w:ilvl="6">
      <w:start w:val="112101"/>
      <w:numFmt w:val="decimal"/>
      <w:lvlText w:val="%7."/>
      <w:lvlJc w:val="left"/>
      <w:pPr>
        <w:ind w:left="5040" w:hanging="360"/>
      </w:pPr>
    </w:lvl>
    <w:lvl w:ilvl="7">
      <w:start w:val="112101"/>
      <w:numFmt w:val="decimal"/>
      <w:lvlText w:val="%8."/>
      <w:lvlJc w:val="left"/>
      <w:pPr>
        <w:ind w:left="5760" w:hanging="360"/>
      </w:pPr>
    </w:lvl>
    <w:lvl w:ilvl="8">
      <w:start w:val="11210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12101"/>
    <w:lvlOverride w:ilvl="0">
      <w:startOverride w:val="112101"/>
    </w:lvlOverride>
    <w:lvlOverride w:ilvl="1">
      <w:startOverride w:val="112101"/>
    </w:lvlOverride>
    <w:lvlOverride w:ilvl="2">
      <w:startOverride w:val="112101"/>
    </w:lvlOverride>
    <w:lvlOverride w:ilvl="3">
      <w:startOverride w:val="112101"/>
    </w:lvlOverride>
    <w:lvlOverride w:ilvl="4">
      <w:startOverride w:val="112101"/>
    </w:lvlOverride>
    <w:lvlOverride w:ilvl="5">
      <w:startOverride w:val="112101"/>
    </w:lvlOverride>
    <w:lvlOverride w:ilvl="6">
      <w:startOverride w:val="112101"/>
    </w:lvlOverride>
    <w:lvlOverride w:ilvl="7">
      <w:startOverride w:val="112101"/>
    </w:lvlOverride>
    <w:lvlOverride w:ilvl="8">
      <w:startOverride w:val="11210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2026-08-06T07:23:39Z</dcterms:created>
  <dcterms:modified xsi:type="dcterms:W3CDTF">2026-08-06T07:23:39Z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