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CTDIvol is a scanner-output index, not a patient or organ dose, and cannot express how</w:t>
      </w:r>
      <w:r>
        <w:t xml:space="preserve"> </w:t>
      </w:r>
      <w:r>
        <w:t xml:space="preserve">tube-current modulation varies along a patient. An organ-specific weighted CTDIvol</w:t>
      </w:r>
      <w:r>
        <w:t xml:space="preserve"> </w:t>
      </w:r>
      <w:r>
        <w:t xml:space="preserve">addressing this problem has been reported previously, but primarily in single-institution</w:t>
      </w:r>
      <w:r>
        <w:t xml:space="preserve"> </w:t>
      </w:r>
      <w:r>
        <w:t xml:space="preserve">cohorts and often using inputs that routine image archives do not retain. We</w:t>
      </w:r>
      <w:r>
        <w:t xml:space="preserve"> </w:t>
      </w:r>
      <w:r>
        <w:t xml:space="preserve">operationalised that quantity openly across manufacturers, from routine DICOM metadata and</w:t>
      </w:r>
      <w:r>
        <w:t xml:space="preserve"> </w:t>
      </w:r>
      <w:r>
        <w:t xml:space="preserve">automated segmentation alone; it is not an estimate of absorbed organ dose. Forty abdominal</w:t>
      </w:r>
      <w:r>
        <w:t xml:space="preserve"> </w:t>
      </w:r>
      <w:r>
        <w:t xml:space="preserve">CT series, ten per manufacturer, were drawn from The Cancer Imaging Archive and twelve</w:t>
      </w:r>
      <w:r>
        <w:t xml:space="preserve"> </w:t>
      </w:r>
      <w:r>
        <w:t xml:space="preserve">organs segmented with TotalSegmentator at inference only. Of 480 requested organ–series</w:t>
      </w:r>
      <w:r>
        <w:t xml:space="preserve"> </w:t>
      </w:r>
      <w:r>
        <w:t xml:space="preserve">combinations, 455 were produced; the remaining 25 organs lay outside the scanned range. A</w:t>
      </w:r>
      <w:r>
        <w:t xml:space="preserve"> </w:t>
      </w:r>
      <w:r>
        <w:t xml:space="preserve">rule-based acquisition-constancy criterion admitted 39 series. Modulation weights spanned</w:t>
      </w:r>
      <w:r>
        <w:t xml:space="preserve"> </w:t>
      </w:r>
      <w:r>
        <w:t xml:space="preserve">0.59 to 1.69, so the index departs from the whole-scan CTDIvol by up to 70% within one</w:t>
      </w:r>
      <w:r>
        <w:t xml:space="preserve"> </w:t>
      </w:r>
      <w:r>
        <w:t xml:space="preserve">acquisition. A recorded</w:t>
      </w:r>
      <w:r>
        <w:t xml:space="preserve"> </w:t>
      </w:r>
      <w:r>
        <w:t xml:space="preserve">CTDIvol was retained in the archived headers of 29 of 40 series, was reconstructable in 5</w:t>
      </w:r>
      <w:r>
        <w:t xml:space="preserve"> </w:t>
      </w:r>
      <w:r>
        <w:t xml:space="preserve">and unavailable in 6, differing markedly between manufacturers. Estimated organ mass was</w:t>
      </w:r>
      <w:r>
        <w:t xml:space="preserve"> </w:t>
      </w:r>
      <w:r>
        <w:t xml:space="preserve">broadly consistent with ICRP 89 values for liver and kidneys. Conversion to absorbed organ</w:t>
      </w:r>
      <w:r>
        <w:t xml:space="preserve"> </w:t>
      </w:r>
      <w:r>
        <w:t xml:space="preserve">dose requires Monte-Carlo coefficients this index does not replace. The implementation is</w:t>
      </w:r>
      <w:r>
        <w:t xml:space="preserve"> </w:t>
      </w:r>
      <w:r>
        <w:t xml:space="preserve">openly available.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CT dose is discussed. The first is that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CTDIvol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 — a distinction set out explicitly by McCollough et al. [1]. The second is that a</w:t>
      </w:r>
      <w:r>
        <w:t xml:space="preserve"> </w:t>
      </w:r>
      <w:r>
        <w:t xml:space="preserve">single value per series cannot express variation along the patient: almost every modern</w:t>
      </w:r>
      <w:r>
        <w:t xml:space="preserve"> </w:t>
      </w:r>
      <w:r>
        <w:t xml:space="preserve">acquisition modulates the tube current longitudinally, so the conditions over the liver</w:t>
      </w:r>
      <w:r>
        <w:t xml:space="preserve"> </w:t>
      </w:r>
      <w:r>
        <w:t xml:space="preserve">and over the bladder are not the same, and one number for the series conceals that.</w:t>
      </w:r>
    </w:p>
    <w:p>
      <w:pPr>
        <w:pStyle w:val="BodyText"/>
      </w:pPr>
      <w:r>
        <w:t xml:space="preserve">That second point is well established. Angel et al. showed that tube-current modulation</w:t>
      </w:r>
      <w:r>
        <w:t xml:space="preserve"> </w:t>
      </w:r>
      <w:r>
        <w:t xml:space="preserve">changes organ dose substantially and size-dependently [2]. Khatonabadi et al. demonstrated</w:t>
      </w:r>
      <w:r>
        <w:t xml:space="preserve"> </w:t>
      </w:r>
      <w:r>
        <w:t xml:space="preserve">that a</w:t>
      </w:r>
      <w:r>
        <w:t xml:space="preserve"> </w:t>
      </w:r>
      <w:r>
        <w:rPr>
          <w:i/>
          <w:iCs/>
        </w:rPr>
        <w:t xml:space="preserve">regional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organ-specific</w:t>
      </w:r>
      <w:r>
        <w:t xml:space="preserve"> </w:t>
      </w:r>
      <w:r>
        <w:t xml:space="preserve">CTDIvol, formed from the modulation profile over an</w:t>
      </w:r>
      <w:r>
        <w:t xml:space="preserve"> </w:t>
      </w:r>
      <w:r>
        <w:t xml:space="preserve">organ’s own location, tracks Monte-Carlo organ dose far better than the whole-scan value,</w:t>
      </w:r>
      <w:r>
        <w:t xml:space="preserve"> </w:t>
      </w:r>
      <w:r>
        <w:t xml:space="preserve">raising the coefficient of determination for liver dose from 0.26 to 0.86 [3]. Tian et al.</w:t>
      </w:r>
      <w:r>
        <w:t xml:space="preserve"> </w:t>
      </w:r>
      <w:r>
        <w:t xml:space="preserve">formalised a</w:t>
      </w:r>
      <w:r>
        <w:t xml:space="preserve"> </w:t>
      </w:r>
      <w:r>
        <w:rPr>
          <w:b/>
          <w:bCs/>
        </w:rPr>
        <w:t xml:space="preserve">weighted organ-specific CTDIvol</w:t>
      </w:r>
      <w:r>
        <w:t xml:space="preserve"> </w:t>
      </w:r>
      <w:r>
        <w:t xml:space="preserve">computed from the modulation profile and</w:t>
      </w:r>
      <w:r>
        <w:t xml:space="preserve"> </w:t>
      </w:r>
      <w:r>
        <w:t xml:space="preserve">used it, with organ-dose coefficients, to predict organ dose prospectively [4]. Related</w:t>
      </w:r>
      <w:r>
        <w:t xml:space="preserve"> </w:t>
      </w:r>
      <w:r>
        <w:t xml:space="preserve">work has validated Monte-Carlo modelling of modulation [5], generalised organ-dose</w:t>
      </w:r>
      <w:r>
        <w:t xml:space="preserve"> </w:t>
      </w:r>
      <w:r>
        <w:t xml:space="preserve">estimation under modulation using patient-size descriptors [6], and recovered tube-current</w:t>
      </w:r>
      <w:r>
        <w:t xml:space="preserve"> </w:t>
      </w:r>
      <w:r>
        <w:t xml:space="preserve">profiles where they were not directly available [7].</w:t>
      </w:r>
    </w:p>
    <w:p>
      <w:pPr>
        <w:pStyle w:val="BodyText"/>
      </w:pPr>
      <w:r>
        <w:rPr>
          <w:b/>
          <w:bCs/>
        </w:rPr>
        <w:t xml:space="preserve">The quantity examined here is therefore not new, and no new index is proposed.</w:t>
      </w:r>
      <w:r>
        <w:t xml:space="preserve"> </w:t>
      </w:r>
      <w:r>
        <w:t xml:space="preserve">This</w:t>
      </w:r>
      <w:r>
        <w:t xml:space="preserve"> </w:t>
      </w:r>
      <w:r>
        <w:t xml:space="preserve">study takes the organ-specific weighted CTDIvol already reported in that literature and</w:t>
      </w:r>
      <w:r>
        <w:t xml:space="preserve"> </w:t>
      </w:r>
      <w:r>
        <w:t xml:space="preserve">asks a different question: what happens when it is operationalised openly, end to end, on</w:t>
      </w:r>
      <w:r>
        <w:t xml:space="preserve"> </w:t>
      </w:r>
      <w:r>
        <w:t xml:space="preserve">heterogeneous archived data from four manufacturers, using automated segmentation and</w:t>
      </w:r>
      <w:r>
        <w:t xml:space="preserve"> </w:t>
      </w:r>
      <w:r>
        <w:t xml:space="preserve">nothing but the metadata a scanner already writes?</w:t>
      </w:r>
    </w:p>
    <w:p>
      <w:pPr>
        <w:pStyle w:val="BodyText"/>
      </w:pPr>
      <w:r>
        <w:t xml:space="preserve">Existing work only partially answers that question. Longitudinal dose indices,</w:t>
      </w:r>
      <w:r>
        <w:t xml:space="preserve"> </w:t>
      </w:r>
      <w:r>
        <w:t xml:space="preserve">DICOM-header-derived modulation profiles and TotalSegmentator-assisted dose calculations</w:t>
      </w:r>
      <w:r>
        <w:t xml:space="preserve"> </w:t>
      </w:r>
      <w:r>
        <w:t xml:space="preserve">have each been investigated, but in different settings and for different endpoints. Li et</w:t>
      </w:r>
      <w:r>
        <w:t xml:space="preserve"> </w:t>
      </w:r>
      <w:r>
        <w:t xml:space="preserve">al. characterised the size-specific dose estimate as a function of longitudinal position,</w:t>
      </w:r>
      <w:r>
        <w:t xml:space="preserve"> </w:t>
      </w:r>
      <w:r>
        <w:t xml:space="preserve">SSDE(z), under both fixed and modulated tube current [8]. Nuntue et al. derived</w:t>
      </w:r>
      <w:r>
        <w:t xml:space="preserve"> </w:t>
      </w:r>
      <w:r>
        <w:t xml:space="preserve">tube-current-modulation profiles from DICOM headers and used them, with Monte-Carlo</w:t>
      </w:r>
      <w:r>
        <w:t xml:space="preserve"> </w:t>
      </w:r>
      <w:r>
        <w:t xml:space="preserve">simulation and physical measurement, to improve absorbed organ dose estimates in abdominal</w:t>
      </w:r>
      <w:r>
        <w:t xml:space="preserve"> </w:t>
      </w:r>
      <w:r>
        <w:t xml:space="preserve">CT [9]. Eom et al. incorporated TotalSegmentator into an automated effective-dose</w:t>
      </w:r>
      <w:r>
        <w:t xml:space="preserve"> </w:t>
      </w:r>
      <w:r>
        <w:t xml:space="preserve">calculation on clinical PET/CT [10]. What remains insufficiently characterised is whether</w:t>
      </w:r>
      <w:r>
        <w:t xml:space="preserve"> </w:t>
      </w:r>
      <w:r>
        <w:t xml:space="preserve">the organ-weighting layer can be reconstructed end to end from heterogeneous archived</w:t>
      </w:r>
      <w:r>
        <w:t xml:space="preserve"> </w:t>
      </w:r>
      <w:r>
        <w:t xml:space="preserve">DICOM alone, how often the required inputs survive archive curation and de-identification,</w:t>
      </w:r>
      <w:r>
        <w:t xml:space="preserve"> </w:t>
      </w:r>
      <w:r>
        <w:t xml:space="preserve">how acquisition-parameter constancy can be verified, and how the resulting quantity</w:t>
      </w:r>
      <w:r>
        <w:t xml:space="preserve"> </w:t>
      </w:r>
      <w:r>
        <w:t xml:space="preserve">behaves across manufacturers when patient-specific contours are obtained automatically.</w:t>
      </w:r>
      <w:r>
        <w:t xml:space="preserve"> </w:t>
      </w:r>
      <w:r>
        <w:t xml:space="preserve">Deep-learning segmentation is what makes the attempt practical at scale: a general-purpose</w:t>
      </w:r>
      <w:r>
        <w:t xml:space="preserve"> </w:t>
      </w:r>
      <w:r>
        <w:t xml:space="preserve">segmenter such as TotalSegmentator [11], built on nnU-Net [12], produces abdominal organ</w:t>
      </w:r>
      <w:r>
        <w:t xml:space="preserve"> </w:t>
      </w:r>
      <w:r>
        <w:t xml:space="preserve">masks from a routine series in seconds at inference only, so the anatomy is now</w:t>
      </w:r>
      <w:r>
        <w:t xml:space="preserve"> </w:t>
      </w:r>
      <w:r>
        <w:t xml:space="preserve">effectively free.</w:t>
      </w:r>
    </w:p>
    <w:p>
      <w:pPr>
        <w:pStyle w:val="BodyText"/>
      </w:pPr>
      <w:r>
        <w:t xml:space="preserve">This study is accordingly an</w:t>
      </w:r>
      <w:r>
        <w:t xml:space="preserve"> </w:t>
      </w:r>
      <w:r>
        <w:rPr>
          <w:b/>
          <w:bCs/>
        </w:rPr>
        <w:t xml:space="preserve">open, multi-vendor operationalisation and empirical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characterisation</w:t>
      </w:r>
      <w:r>
        <w:t xml:space="preserve"> </w:t>
      </w:r>
      <w:r>
        <w:t xml:space="preserve">of a previously reported quantity: the whole-scan CTDIvol scaled by a</w:t>
      </w:r>
      <w:r>
        <w:t xml:space="preserve"> </w:t>
      </w:r>
      <w:r>
        <w:t xml:space="preserve">dimensionless, organ-specific weight formed from the recorded per-slice tube current over</w:t>
      </w:r>
      <w:r>
        <w:t xml:space="preserve"> </w:t>
      </w:r>
      <w:r>
        <w:t xml:space="preserve">that organ’s segmented longitudinal extent, referred to here as the anatomy-weighted</w:t>
      </w:r>
      <w:r>
        <w:t xml:space="preserve"> </w:t>
      </w:r>
      <w:r>
        <w:t xml:space="preserve">CTDIvol index. It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2.10</w:t>
      </w:r>
      <w:r>
        <w:t xml:space="preserve"> </w:t>
      </w:r>
      <w:r>
        <w:t xml:space="preserve">sets out what it does 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phantoms and corrected for patient size [13,14,15].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are:</w:t>
      </w:r>
    </w:p>
    <w:p>
      <w:pPr>
        <w:pStyle w:val="Compact"/>
        <w:numPr>
          <w:ilvl w:val="0"/>
          <w:numId w:val="1001"/>
        </w:numPr>
      </w:pPr>
      <w:r>
        <w:t xml:space="preserve">An open, end-to-end implementation of the organ-specific weighted CTDIvol computed</w:t>
      </w:r>
      <w:r>
        <w:t xml:space="preserve"> </w:t>
      </w:r>
      <w:r>
        <w:t xml:space="preserve">entirely from data a scanner already records, requiring neither projection data nor</w:t>
      </w:r>
      <w:r>
        <w:t xml:space="preserve"> </w:t>
      </w:r>
      <w:r>
        <w:t xml:space="preserve">manual contouring.</w:t>
      </w:r>
    </w:p>
    <w:p>
      <w:pPr>
        <w:pStyle w:val="Compact"/>
        <w:numPr>
          <w:ilvl w:val="0"/>
          <w:numId w:val="1001"/>
        </w:numPr>
      </w:pPr>
      <w:r>
        <w:t xml:space="preserve">A multi-vendor empirical characterisation of that quantity on public archive data:</w:t>
      </w:r>
      <w:r>
        <w:t xml:space="preserve"> </w:t>
      </w:r>
      <w:r>
        <w:t xml:space="preserve">its range, its within-acquisition spread and its behaviour across four manufacturers.</w:t>
      </w:r>
    </w:p>
    <w:p>
      <w:pPr>
        <w:pStyle w:val="Compact"/>
        <w:numPr>
          <w:ilvl w:val="0"/>
          <w:numId w:val="1001"/>
        </w:numPr>
      </w:pPr>
      <w:r>
        <w:t xml:space="preserve">A description, for this archive sample, of how often the required inputs are actually</w:t>
      </w:r>
      <w:r>
        <w:t xml:space="preserve"> </w:t>
      </w:r>
      <w:r>
        <w:t xml:space="preserve">retained in archived DICOM headers — a precondition for any retrospective study of</w:t>
      </w:r>
      <w:r>
        <w:t xml:space="preserve"> </w:t>
      </w:r>
      <w:r>
        <w:t xml:space="preserve">this kind, and one that has not been well characterised.</w:t>
      </w:r>
    </w:p>
    <w:p>
      <w:pPr>
        <w:pStyle w:val="Compact"/>
        <w:numPr>
          <w:ilvl w:val="0"/>
          <w:numId w:val="1001"/>
        </w:numPr>
      </w:pPr>
      <w:r>
        <w:t xml:space="preserve">A rule-based acquisition-constancy criterion that makes the assumption underlying the</w:t>
      </w:r>
      <w:r>
        <w:t xml:space="preserve"> </w:t>
      </w:r>
      <w:r>
        <w:t xml:space="preserve">weighting testable rather than implicit.</w:t>
      </w:r>
    </w:p>
    <w:p>
      <w:pPr>
        <w:pStyle w:val="Compact"/>
        <w:numPr>
          <w:ilvl w:val="0"/>
          <w:numId w:val="1001"/>
        </w:numPr>
      </w:pPr>
      <w:r>
        <w:t xml:space="preserve">An external reference comparison of attenuation-derived estimated organ mass against</w:t>
      </w:r>
      <w:r>
        <w:t xml:space="preserve"> </w:t>
      </w:r>
      <w:r>
        <w:t xml:space="preserve">ICRP 89 reference values [16], and the practical limits an organ-level modulation</w:t>
      </w:r>
      <w:r>
        <w:t xml:space="preserve"> </w:t>
      </w:r>
      <w:r>
        <w:t xml:space="preserve">analysis must handle.</w:t>
      </w:r>
    </w:p>
    <w:bookmarkEnd w:id="10"/>
    <w:bookmarkStart w:id="22" w:name="materials-and-methods"/>
    <w:p>
      <w:pPr>
        <w:pStyle w:val="Heading2"/>
      </w:pPr>
      <w:r>
        <w:t xml:space="preserve">2. Materials and Methods</w:t>
      </w:r>
    </w:p>
    <w:bookmarkStart w:id="11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</w:t>
      </w:r>
    </w:p>
    <w:p>
      <w:pPr>
        <w:pStyle w:val="BodyText"/>
      </w:pPr>
      <w:r>
        <w:t xml:space="preserve">All imaging was drawn from The Cancer Imaging Archive [17]. The candidate index was built</w:t>
      </w:r>
      <w:r>
        <w:t xml:space="preserve"> </w:t>
      </w:r>
      <w:r>
        <w:t xml:space="preserve">from 47,181 CT series across 21 abdominal collections, read as series-level JSON with no</w:t>
      </w:r>
      <w:r>
        <w:t xml:space="preserve"> </w:t>
      </w:r>
      <w:r>
        <w:t xml:space="preserve">pixel data. Candidates were seeded from the public-archive</w:t>
      </w:r>
      <w:r>
        <w:t xml:space="preserve"> </w:t>
      </w:r>
      <w:r>
        <w:t xml:space="preserve">survey distributed with the companion software release [18] — a software record, not a</w:t>
      </w:r>
      <w:r>
        <w:t xml:space="preserve"> </w:t>
      </w:r>
      <w:r>
        <w:t xml:space="preserve">peer-reviewed study — and supplemented by direct 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bookmarkEnd w:id="11"/>
    <w:bookmarkStart w:id="12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2"/>
    <w:bookmarkStart w:id="13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3"/>
    <w:bookmarkStart w:id="14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4"/>
    <w:bookmarkStart w:id="15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[11],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 Inference runs in a separate child process, because nnU-Net spawns its own</w:t>
      </w:r>
      <w:r>
        <w:t xml:space="preserve"> </w:t>
      </w:r>
      <w:r>
        <w:t xml:space="preserve">workers and doing so from a long-lived parent leaks processes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[19]. Figure 1 illustrates the</w:t>
      </w:r>
      <w:r>
        <w:t xml:space="preserve"> </w:t>
      </w:r>
      <w:r>
        <w:t xml:space="preserve">segmentation output and its correspondence with the CT anatomy in the representative</w:t>
      </w:r>
      <w:r>
        <w:t xml:space="preserve"> </w:t>
      </w:r>
      <w:r>
        <w:t xml:space="preserve">acquisition used for the end-to-end example.</w:t>
      </w:r>
    </w:p>
    <w:bookmarkEnd w:id="15"/>
    <w:bookmarkStart w:id="16" w:name="attenuation-derived-estimated-organ-mass"/>
    <w:p>
      <w:pPr>
        <w:pStyle w:val="Heading3"/>
      </w:pPr>
      <w:r>
        <w:t xml:space="preserve">2.6.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[20] and the</w:t>
      </w:r>
      <w:r>
        <w:t xml:space="preserve"> </w:t>
      </w:r>
      <w:r>
        <w:t xml:space="preserve">construction from Schneider et al. [21].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16"/>
    <w:bookmarkStart w:id="17" w:name="the-anatomy-weighted-ctdivol-index"/>
    <w:p>
      <w:pPr>
        <w:pStyle w:val="Heading3"/>
      </w:pPr>
      <w:r>
        <w:t xml:space="preserve">2.7. The Anatomy-Weighted CTDIvol Index</w:t>
      </w:r>
    </w:p>
    <w:p>
      <w:pPr>
        <w:pStyle w:val="FirstParagraph"/>
      </w:pPr>
      <w:r>
        <w:t xml:space="preserve">For an organ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occupying slices with per-slice voxel counts</w:t>
      </w:r>
      <w:r>
        <w:t xml:space="preserve"> </w:t>
      </w:r>
      <w:r>
        <w:rPr>
          <w:i/>
          <w:iCs/>
        </w:rPr>
        <w:t xml:space="preserve">n_o(z)</w:t>
      </w:r>
      <w:r>
        <w:t xml:space="preserve">, and a series with</w:t>
      </w:r>
      <w:r>
        <w:t xml:space="preserve"> </w:t>
      </w:r>
      <w:r>
        <w:t xml:space="preserve">per-slice tube current</w:t>
      </w:r>
      <w:r>
        <w:t xml:space="preserve"> </w:t>
      </w:r>
      <w:r>
        <w:rPr>
          <w:i/>
          <w:iCs/>
        </w:rPr>
        <w:t xml:space="preserve">I(z)</w:t>
      </w:r>
      <w:r>
        <w:t xml:space="preserve">, the organ-specific modulation weight is</w:t>
      </w:r>
    </w:p>
    <w:p>
      <w:pPr>
        <w:pStyle w:val="BodyText"/>
      </w:pPr>
      <w:r>
        <w:rPr>
          <w:i/>
          <w:iCs/>
        </w:rPr>
        <w:t xml:space="preserve">w_o</w:t>
      </w:r>
      <w:r>
        <w:t xml:space="preserve"> </w:t>
      </w:r>
      <w:r>
        <w:t xml:space="preserve">= [ Σ_z</w:t>
      </w:r>
      <w:r>
        <w:t xml:space="preserve"> </w:t>
      </w:r>
      <w:r>
        <w:rPr>
          <w:i/>
          <w:iCs/>
        </w:rPr>
        <w:t xml:space="preserve">n_o(z) I(z)</w:t>
      </w:r>
      <w:r>
        <w:t xml:space="preserve"> </w:t>
      </w:r>
      <w:r>
        <w:t xml:space="preserve">/ Σ_z</w:t>
      </w:r>
      <w:r>
        <w:t xml:space="preserve"> </w:t>
      </w:r>
      <w:r>
        <w:rPr>
          <w:i/>
          <w:iCs/>
        </w:rPr>
        <w:t xml:space="preserve">n_o(z)</w:t>
      </w:r>
      <w:r>
        <w:t xml:space="preserve"> </w:t>
      </w:r>
      <w:r>
        <w:t xml:space="preserve">] / mean_z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(1)</w:t>
      </w:r>
    </w:p>
    <w:p>
      <w:pPr>
        <w:pStyle w:val="BodyText"/>
      </w:pPr>
      <w:r>
        <w:t xml:space="preserve">and the anatomy-weighted CTDIvol index is CTDIvol ·</w:t>
      </w:r>
      <w:r>
        <w:t xml:space="preserve"> </w:t>
      </w:r>
      <w:r>
        <w:rPr>
          <w:i/>
          <w:iCs/>
        </w:rPr>
        <w:t xml:space="preserve">w_o</w:t>
      </w:r>
      <w:r>
        <w:t xml:space="preserve">. The weight is dimensionless and</w:t>
      </w:r>
      <w:r>
        <w:t xml:space="preserve"> </w:t>
      </w:r>
      <w:r>
        <w:t xml:space="preserve">is the transferable quantity: it expresses the recorded longitudinal tube-current</w:t>
      </w:r>
      <w:r>
        <w:t xml:space="preserve"> </w:t>
      </w:r>
      <w:r>
        <w:t xml:space="preserve">conditions over the organ relative to the scan mean, independently of the scanner’s own</w:t>
      </w:r>
      <w:r>
        <w:t xml:space="preserve"> </w:t>
      </w:r>
      <w:r>
        <w:t xml:space="preserve">output.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17"/>
    <w:bookmarkStart w:id="18" w:name="the-acquisition-constancy-criterion"/>
    <w:p>
      <w:pPr>
        <w:pStyle w:val="Heading3"/>
      </w:pPr>
      <w:r>
        <w:t xml:space="preserve">2.8. The Acquisition-Constancy Criterion</w:t>
      </w:r>
    </w:p>
    <w:p>
      <w:pPr>
        <w:pStyle w:val="FirstParagraph"/>
      </w:pPr>
      <w:r>
        <w:t xml:space="preserve">We formalised this assumption as a rule-based eligibility criterion and applied it</w:t>
      </w:r>
      <w:r>
        <w:t xml:space="preserve"> </w:t>
      </w:r>
      <w:r>
        <w:t xml:space="preserve">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t xml:space="preserve">Every slice header of every series was read and each output-governing attribute — tube</w:t>
      </w:r>
      <w:r>
        <w:t xml:space="preserve"> </w:t>
      </w:r>
      <w:r>
        <w:t xml:space="preserve">voltage, exposure time, rotation time, pitch and total collimation width — classified into</w:t>
      </w:r>
      <w:r>
        <w:t xml:space="preserve"> </w:t>
      </w:r>
      <w:r>
        <w:t xml:space="preserve">one of four states.</w:t>
      </w:r>
      <w:r>
        <w:t xml:space="preserve"> </w:t>
      </w:r>
      <w:r>
        <w:rPr>
          <w:i/>
          <w:iCs/>
        </w:rPr>
        <w:t xml:space="preserve">Verified constant</w:t>
      </w:r>
      <w:r>
        <w:t xml:space="preserve">: one value throughout.</w:t>
      </w:r>
      <w:r>
        <w:t xml:space="preserve"> </w:t>
      </w:r>
      <w:r>
        <w:rPr>
          <w:i/>
          <w:iCs/>
        </w:rPr>
        <w:t xml:space="preserve">Absent</w:t>
      </w:r>
      <w:r>
        <w:t xml:space="preserve">: never written to</w:t>
      </w:r>
      <w:r>
        <w:t xml:space="preserve"> </w:t>
      </w:r>
      <w:r>
        <w:t xml:space="preserve">the archived headers, so constancy can be neither confirmed nor refuted; absence alone</w:t>
      </w:r>
      <w:r>
        <w:t xml:space="preserve"> </w:t>
      </w:r>
      <w:r>
        <w:t xml:space="preserve">does not disqualify a series, since excluding on it would remove series for a property of</w:t>
      </w:r>
      <w:r>
        <w:t xml:space="preserve"> </w:t>
      </w:r>
      <w:r>
        <w:t xml:space="preserve">the de-identified export rather than of the acquisition.</w:t>
      </w:r>
      <w:r>
        <w:t xml:space="preserve"> </w:t>
      </w:r>
      <w:r>
        <w:rPr>
          <w:i/>
          <w:iCs/>
        </w:rPr>
        <w:t xml:space="preserve">Negligible variation</w:t>
      </w:r>
      <w:r>
        <w:t xml:space="preserve">: varying</w:t>
      </w:r>
      <w:r>
        <w:t xml:space="preserve"> </w:t>
      </w:r>
      <w:r>
        <w:t xml:space="preserve">by less than a relative tolerance of 0.02, attributable to the numeric representation —</w:t>
      </w:r>
      <w:r>
        <w:t xml:space="preserve"> </w:t>
      </w:r>
      <w:r>
        <w:t xml:space="preserve">exposure time is written as an integer number of milliseconds, so a one-unit step on a</w:t>
      </w:r>
      <w:r>
        <w:t xml:space="preserve"> </w:t>
      </w:r>
      <w:r>
        <w:t xml:space="preserve">value of a few hundred is a rounding artefact.</w:t>
      </w:r>
      <w:r>
        <w:t xml:space="preserve"> </w:t>
      </w:r>
      <w:r>
        <w:rPr>
          <w:i/>
          <w:iCs/>
        </w:rPr>
        <w:t xml:space="preserve">Materially variable</w:t>
      </w:r>
      <w:r>
        <w:t xml:space="preserve">: varying by at least</w:t>
      </w:r>
      <w:r>
        <w:t xml:space="preserve"> </w:t>
      </w:r>
      <w:r>
        <w:t xml:space="preserve">that tolerance, which disqualifies the series. The tolerance is not fitted to these data:</w:t>
      </w:r>
      <w:r>
        <w:t xml:space="preserve"> </w:t>
      </w:r>
      <w:r>
        <w:t xml:space="preserve">any value between roughly 1% and 50% classifies this cohort identically, because the only</w:t>
      </w:r>
      <w:r>
        <w:t xml:space="preserve"> </w:t>
      </w:r>
      <w:r>
        <w:t xml:space="preserve">material variation 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[22];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18"/>
    <w:bookmarkStart w:id="19" w:name="organ-record-flow"/>
    <w:p>
      <w:pPr>
        <w:pStyle w:val="Heading3"/>
      </w:pPr>
      <w:r>
        <w:t xml:space="preserve">2.9.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before</w:t>
      </w:r>
      <w:r>
        <w:t xml:space="preserve"> </w:t>
      </w:r>
      <w:r>
        <w:t xml:space="preserve">application of the acquisition-constancy criterion, 386 records from 34 series had a</w:t>
      </w:r>
      <w:r>
        <w:t xml:space="preserve"> </w:t>
      </w:r>
      <w:r>
        <w:t xml:space="preserve">recorded or reconstructed CTDIvol and were computationally capable of carrying an index,</w:t>
      </w:r>
      <w:r>
        <w:t xml:space="preserve"> </w:t>
      </w:r>
      <w:r>
        <w:t xml:space="preserve">while the remaining 69 records, from 6 series, carry a modulation weight but no index</w:t>
      </w:r>
      <w:r>
        <w:t xml:space="preserve"> </w:t>
      </w:r>
      <w:r>
        <w:t xml:space="preserve">because those series have no CTDIvol by either route. The two conditions hold together for</w:t>
      </w:r>
      <w:r>
        <w:t xml:space="preserve"> </w:t>
      </w:r>
      <w:r>
        <w:t xml:space="preserve">345 records; 41 truncated records still carry an index, and 63 untruncated records do not.</w:t>
      </w:r>
    </w:p>
    <w:p>
      <w:pPr>
        <w:pStyle w:val="BodyText"/>
      </w:pPr>
      <w:r>
        <w:t xml:space="preserve">After exclusion of the one materially variable series, 375 records from 33 series were</w:t>
      </w:r>
      <w:r>
        <w:t xml:space="preserve"> </w:t>
      </w:r>
      <w:r>
        <w:t xml:space="preserve">eligible for the quantitative anatomy-weighted-index analysis; the 11 excluded records</w:t>
      </w:r>
      <w:r>
        <w:t xml:space="preserve"> </w:t>
      </w:r>
      <w:r>
        <w:t xml:space="preserve">belong to that series. The external reference-mass comparison, which does not depend on</w:t>
      </w:r>
      <w:r>
        <w:t xml:space="preserve"> </w:t>
      </w:r>
      <w:r>
        <w:t xml:space="preserve">the modulation weighting, uses the 177 untruncated records of the five solid organs across</w:t>
      </w:r>
      <w:r>
        <w:t xml:space="preserve"> </w:t>
      </w:r>
      <w:r>
        <w:t xml:space="preserve">the whole cohort.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19"/>
    <w:bookmarkStart w:id="20" w:name="Xac99610bd1667e2236e31b4cc065aa132b167b5"/>
    <w:p>
      <w:pPr>
        <w:pStyle w:val="Heading3"/>
      </w:pPr>
      <w:r>
        <w:t xml:space="preserve">2.10.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0"/>
    <w:bookmarkStart w:id="21" w:name="verification-and-reproducibility"/>
    <w:p>
      <w:pPr>
        <w:pStyle w:val="Heading3"/>
      </w:pPr>
      <w:r>
        <w:t xml:space="preserve">2.11.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full-resolution model) on PyTorch 2.11 with CUDA 12.8, pydicom</w:t>
      </w:r>
      <w:r>
        <w:t xml:space="preserve"> </w:t>
      </w:r>
      <w:r>
        <w:t xml:space="preserve">3.0 and NumPy 2.5, using an NVIDIA RTX 3080. Every reported value is re-derived from the</w:t>
      </w:r>
      <w:r>
        <w:t xml:space="preserve"> </w:t>
      </w:r>
      <w:r>
        <w:t xml:space="preserve">per-series records by the test suite, including regenerating the complete analysis table</w:t>
      </w:r>
      <w:r>
        <w:t xml:space="preserve"> </w:t>
      </w:r>
      <w:r>
        <w:t xml:space="preserve">and comparing it. The acquisition, organ, analysis and figure layers are regenerated by</w:t>
      </w:r>
      <w:r>
        <w:t xml:space="preserve"> </w:t>
      </w:r>
      <w:r>
        <w:rPr>
          <w:rStyle w:val="VerbatimChar"/>
        </w:rPr>
        <w:t xml:space="preserve">tools/select_and_download.py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tools/run_organ_dose.py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tools/make_analysis.py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tools/make_figures.py</w:t>
      </w:r>
      <w:r>
        <w:t xml:space="preserve"> </w:t>
      </w:r>
      <w:r>
        <w:t xml:space="preserve">respectively; the acquisition-parameter check by</w:t>
      </w:r>
      <w:r>
        <w:t xml:space="preserve"> </w:t>
      </w:r>
      <w:r>
        <w:rPr>
          <w:rStyle w:val="VerbatimChar"/>
        </w:rPr>
        <w:t xml:space="preserve">tools/verify_acquisition_constancy.py</w:t>
      </w:r>
      <w:r>
        <w:t xml:space="preserve">. The repository, its release tag, commit hash and</w:t>
      </w:r>
      <w:r>
        <w:t xml:space="preserve"> </w:t>
      </w:r>
      <w:r>
        <w:t xml:space="preserve">archived version DOI are given in the Data Availability Statement.</w:t>
      </w:r>
    </w:p>
    <w:bookmarkEnd w:id="21"/>
    <w:bookmarkEnd w:id="22"/>
    <w:bookmarkStart w:id="43" w:name="results"/>
    <w:p>
      <w:pPr>
        <w:pStyle w:val="Heading2"/>
      </w:pPr>
      <w:r>
        <w:t xml:space="preserve">3. Results</w:t>
      </w:r>
    </w:p>
    <w:bookmarkStart w:id="26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2.9.</w:t>
      </w:r>
      <w:r>
        <w:t xml:space="preserve"> </w:t>
      </w:r>
      <w:r>
        <w:t xml:space="preserve">Figure 1 shows the segmentation output for a representative acquisition.</w:t>
      </w:r>
    </w:p>
    <w:p>
      <w:pPr>
        <w:pStyle w:val="BodyText"/>
      </w:pPr>
      <w:r>
        <w:t xml:space="preserve">Of the 40 segmented series, 39 met the acquisition-constancy criterion of Section 2.8. One</w:t>
      </w:r>
      <w:r>
        <w:t xml:space="preserve"> </w:t>
      </w:r>
      <w:r>
        <w:t xml:space="preserve">archived GE series contained two blocks with different exposure and rotation times; it was</w:t>
      </w:r>
      <w:r>
        <w:t xml:space="preserve"> </w:t>
      </w:r>
      <w:r>
        <w:t xml:space="preserve">retained for the segmentation, estimated-mass and archive-availability analyses and</w:t>
      </w:r>
      <w:r>
        <w:t xml:space="preserve"> </w:t>
      </w:r>
      <w:r>
        <w:t xml:space="preserve">excluded from the modulation-weight and anatomy-weighted-index summaries. The quantitative</w:t>
      </w:r>
      <w:r>
        <w:t xml:space="preserve"> </w:t>
      </w:r>
      <w:r>
        <w:t xml:space="preserve">modulation analysis therefore rests on 375 organ records from the 33 eligible series that</w:t>
      </w:r>
      <w:r>
        <w:t xml:space="preserve"> </w:t>
      </w:r>
      <w: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1_segment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Representative TotalSegmentator output from one abdominal CT series used in</w:t>
      </w:r>
      <w:r>
        <w:t xml:space="preserve"> </w:t>
      </w:r>
      <w:r>
        <w:t xml:space="preserve">the analysis. (</w:t>
      </w:r>
      <w:r>
        <w:rPr>
          <w:b/>
          <w:bCs/>
        </w:rPr>
        <w:t xml:space="preserve">a</w:t>
      </w:r>
      <w:r>
        <w:t xml:space="preserve">) Coronal reformat with multi-organ overlays. (</w:t>
      </w:r>
      <w:r>
        <w:rPr>
          <w:b/>
          <w:bCs/>
        </w:rPr>
        <w:t xml:space="preserve">b</w:t>
      </w:r>
      <w:r>
        <w:t xml:space="preserve">–</w:t>
      </w:r>
      <w:r>
        <w:rPr>
          <w:b/>
          <w:bCs/>
        </w:rPr>
        <w:t xml:space="preserve">d</w:t>
      </w:r>
      <w:r>
        <w:t xml:space="preserve">) Axial</w:t>
      </w:r>
      <w:r>
        <w:t xml:space="preserve"> </w:t>
      </w:r>
      <w:r>
        <w:t xml:space="preserve">levels through the upper abdomen, the renal level and the lower abdomen. Masks were</w:t>
      </w:r>
      <w:r>
        <w:t xml:space="preserve"> </w:t>
      </w:r>
      <w:r>
        <w:t xml:space="preserve">generated with TotalSegmentator v2.17 using the 1.5 mm full-resolution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and</w:t>
      </w:r>
      <w:r>
        <w:t xml:space="preserve"> </w:t>
      </w:r>
      <w:r>
        <w:t xml:space="preserve">returned to the native DICOM-derived image grid; overlays are translucent so the anatomy</w:t>
      </w:r>
      <w:r>
        <w:t xml:space="preserve"> </w:t>
      </w:r>
      <w:r>
        <w:t xml:space="preserve">they are drawn against remains visible, and the key lists the structures actually shown.</w:t>
      </w:r>
      <w:r>
        <w:t xml:space="preserve"> </w:t>
      </w:r>
      <w:r>
        <w:t xml:space="preserve">The same acquisition appears in Figure 2. Images are displayed in radiological convention,</w:t>
      </w:r>
      <w:r>
        <w:t xml:space="preserve"> </w:t>
      </w:r>
      <w:r>
        <w:t xml:space="preserve">with the patient’s left on the viewer’s right. Only de-identified imaging from The Cancer</w:t>
      </w:r>
      <w:r>
        <w:t xml:space="preserve"> </w:t>
      </w:r>
      <w:r>
        <w:t xml:space="preserve">Imaging Archive is shown.</w:t>
      </w:r>
    </w:p>
    <w:bookmarkEnd w:id="26"/>
    <w:bookmarkStart w:id="30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2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2_demonstration_c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30"/>
    <w:bookmarkStart w:id="34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3).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ig3_dose_index_availabilit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34"/>
    <w:bookmarkStart w:id="38" w:name="X70cbf5043a3c777e943a08818979130bc3ea1a7"/>
    <w:p>
      <w:pPr>
        <w:pStyle w:val="Heading3"/>
      </w:pPr>
      <w:r>
        <w:t xml:space="preserve">3.4. External Reference Comparison of Estimated Organ Mass</w:t>
      </w:r>
    </w:p>
    <w:p>
      <w:pPr>
        <w:pStyle w:val="FirstParagraph"/>
      </w:pPr>
      <w:r>
        <w:t xml:space="preserve">Table 1 and Figure 4 place attenuation-derived estimated organ mass beside the ICRP 89</w:t>
      </w:r>
      <w:r>
        <w:t xml:space="preserve"> </w:t>
      </w:r>
      <w:r>
        <w:t xml:space="preserve">reference adult male values [16],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fig4_organ_mass_vs_icrp8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Attenuation-derived estimated organ mass relative to the ICRP 89 reference</w:t>
      </w:r>
      <w:r>
        <w:t xml:space="preserve"> </w:t>
      </w:r>
      <w:r>
        <w:t xml:space="preserve">adult male mass, by manufacturer. Each marker is one organ in one series; the horizontal</w:t>
      </w:r>
      <w:r>
        <w:t xml:space="preserve"> </w:t>
      </w:r>
      <w:r>
        <w:t xml:space="preserve">bar is the median across all manufacturers. Organs truncated by the scan boundary are</w:t>
      </w:r>
      <w:r>
        <w:t xml:space="preserve"> </w:t>
      </w:r>
      <w:r>
        <w:t xml:space="preserve">excluded. Manufacturer is encoded by marker shape as well as colour, so the figure is</w:t>
      </w:r>
      <w:r>
        <w:t xml:space="preserve"> </w:t>
      </w:r>
      <w:r>
        <w:t xml:space="preserve">readable in greyscale.</w:t>
      </w:r>
    </w:p>
    <w:bookmarkEnd w:id="38"/>
    <w:bookmarkStart w:id="42" w:name="Xe502f279f709e96f2f22f37520e1c85ca7cf199"/>
    <w:p>
      <w:pPr>
        <w:pStyle w:val="Heading3"/>
      </w:pPr>
      <w:r>
        <w:t xml:space="preserve">3.5.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5).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Three of the 39 series eligible for quantitative modulation analysis showed a</w:t>
      </w:r>
      <w:r>
        <w:t xml:space="preserve"> </w:t>
      </w:r>
      <w:r>
        <w:t xml:space="preserve">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fig5_study_limi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counts, over</w:t>
      </w:r>
      <w:r>
        <w:t xml:space="preserve"> </w:t>
      </w:r>
      <w:r>
        <w:t xml:space="preserve">all 40 segmented series. (</w:t>
      </w:r>
      <w:r>
        <w:rPr>
          <w:b/>
          <w:bCs/>
        </w:rPr>
        <w:t xml:space="preserve">b</w:t>
      </w:r>
      <w:r>
        <w:t xml:space="preserve">) Peak-to-peak spread of the organ-specific modulation</w:t>
      </w:r>
      <w:r>
        <w:t xml:space="preserve"> </w:t>
      </w:r>
      <w:r>
        <w:t xml:space="preserve">weights within each of the 39 series eligible for quantitative modulation analysis; the</w:t>
      </w:r>
      <w:r>
        <w:t xml:space="preserve"> </w:t>
      </w:r>
      <w:r>
        <w:t xml:space="preserve">dashed line is the threshold below which a series carries no usable variation.</w:t>
      </w:r>
    </w:p>
    <w:bookmarkEnd w:id="42"/>
    <w:bookmarkEnd w:id="43"/>
    <w:bookmarkStart w:id="44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the</w:t>
      </w:r>
      <w:r>
        <w:t xml:space="preserve"> </w:t>
      </w:r>
      <w:r>
        <w:t xml:space="preserve">eligible 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Relation to previous work.</w:t>
      </w:r>
      <w:r>
        <w:t xml:space="preserve"> </w:t>
      </w:r>
      <w:r>
        <w:t xml:space="preserve">The quantity is that of Khatonabadi et al. [3] and Tian et</w:t>
      </w:r>
      <w:r>
        <w:t xml:space="preserve"> </w:t>
      </w:r>
      <w:r>
        <w:t xml:space="preserve">al. [4], who established the organ-specific weighted CTDIvol and validated it against</w:t>
      </w:r>
      <w:r>
        <w:t xml:space="preserve"> </w:t>
      </w:r>
      <w:r>
        <w:t xml:space="preserve">Monte-Carlo organ dose; this study did not invent it, and adds nothing to those</w:t>
      </w:r>
      <w:r>
        <w:t xml:space="preserve"> </w:t>
      </w:r>
      <w:r>
        <w:t xml:space="preserve">validations. What differs is the setting. Those studies, and the related modulation</w:t>
      </w:r>
      <w:r>
        <w:t xml:space="preserve"> </w:t>
      </w:r>
      <w:r>
        <w:t xml:space="preserve">dosimetry of Angel et al. [2] and Bostani et al. [5,6], worked from single-institution</w:t>
      </w:r>
      <w:r>
        <w:t xml:space="preserve"> </w:t>
      </w:r>
      <w:r>
        <w:t xml:space="preserve">cohorts with one or two scanner models and manual or semi-automatic contours, in several</w:t>
      </w:r>
      <w:r>
        <w:t xml:space="preserve"> </w:t>
      </w:r>
      <w:r>
        <w:t xml:space="preserve">cases using raw projection data or vendor-supplied modulation profiles that archived DICOM</w:t>
      </w:r>
      <w:r>
        <w:t xml:space="preserve"> </w:t>
      </w:r>
      <w:r>
        <w:t xml:space="preserve">does not retain. Here the same quantity is obtained from archived headers alone, across</w:t>
      </w:r>
      <w:r>
        <w:t xml:space="preserve"> </w:t>
      </w:r>
      <w:r>
        <w:t xml:space="preserve">four manufacturers and 23 scanner models, with contours produced automatically.</w:t>
      </w:r>
    </w:p>
    <w:p>
      <w:pPr>
        <w:pStyle w:val="BodyText"/>
      </w:pPr>
      <w:r>
        <w:t xml:space="preserve">Three recent studies sit closest and differ in endpoint rather than in quality. Li et al.</w:t>
      </w:r>
      <w:r>
        <w:t xml:space="preserve"> </w:t>
      </w:r>
      <w:r>
        <w:t xml:space="preserve">[8] characterise SSDE(z), a patient-size-adjusted dose index evaluated at each</w:t>
      </w:r>
      <w:r>
        <w:t xml:space="preserve"> </w:t>
      </w:r>
      <w:r>
        <w:t xml:space="preserve">longitudinal position; that is related but not the same quantity, since the weighting here</w:t>
      </w:r>
      <w:r>
        <w:t xml:space="preserve"> </w:t>
      </w:r>
      <w:r>
        <w:t xml:space="preserve">is by segmented organ occupancy of the tube-current profile rather than by patient size at</w:t>
      </w:r>
      <w:r>
        <w:t xml:space="preserve"> </w:t>
      </w:r>
      <w:r>
        <w:t xml:space="preserve">a given position. Nuntue et al. [9] also derive modulation profiles from DICOM headers,</w:t>
      </w:r>
      <w:r>
        <w:t xml:space="preserve"> </w:t>
      </w:r>
      <w:r>
        <w:t xml:space="preserve">and go further than this work in estimating absorbed organ dose with Monte-Carlo</w:t>
      </w:r>
      <w:r>
        <w:t xml:space="preserve"> </w:t>
      </w:r>
      <w:r>
        <w:t xml:space="preserve">simulation and measurement validation; this study deliberately stops short of absorbed</w:t>
      </w:r>
      <w:r>
        <w:t xml:space="preserve"> </w:t>
      </w:r>
      <w:r>
        <w:t xml:space="preserve">dose and addresses instead archive feasibility, multi-vendor availability, quality control</w:t>
      </w:r>
      <w:r>
        <w:t xml:space="preserve"> </w:t>
      </w:r>
      <w:r>
        <w:t xml:space="preserve">and an open implementation. Eom et al. [10] likewise use TotalSegmentator for automated</w:t>
      </w:r>
      <w:r>
        <w:t xml:space="preserve"> </w:t>
      </w:r>
      <w:r>
        <w:t xml:space="preserve">dose calculation, but their endpoint is effective dose from body regions and DLP</w:t>
      </w:r>
      <w:r>
        <w:t xml:space="preserve"> </w:t>
      </w:r>
      <w:r>
        <w:t xml:space="preserve">conversion factors, whereas the present work uses individual organ masks, the per-slice</w:t>
      </w:r>
      <w:r>
        <w:t xml:space="preserve"> </w:t>
      </w:r>
      <w:r>
        <w:t xml:space="preserve">tube current and an organ-specific longitudinal weighting.</w:t>
      </w:r>
    </w:p>
    <w:p>
      <w:pPr>
        <w:pStyle w:val="BodyText"/>
      </w:pPr>
      <w:r>
        <w:t xml:space="preserve">The contribution is therefore not a new dose index or an improvement on the published</w:t>
      </w:r>
      <w:r>
        <w:t xml:space="preserve"> </w:t>
      </w:r>
      <w:r>
        <w:t xml:space="preserve">Monte-Carlo validations. It is an open, multi-vendor operationalisation and empirical</w:t>
      </w:r>
      <w:r>
        <w:t xml:space="preserve"> </w:t>
      </w:r>
      <w:r>
        <w:t xml:space="preserve">characterisation of the organ-weighting layer under the constraints of real archived</w:t>
      </w:r>
      <w:r>
        <w:t xml:space="preserve"> </w:t>
      </w:r>
      <w:r>
        <w:t xml:space="preserve">DICOM.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2.10,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[11]),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implementation is MIT-licensed, no</w:t>
      </w:r>
      <w:r>
        <w:t xml:space="preserve"> </w:t>
      </w:r>
      <w:r>
        <w:t xml:space="preserve">imaging is redistributed, and every reported value is re-derived from the per-series</w:t>
      </w:r>
      <w:r>
        <w:t xml:space="preserve"> </w:t>
      </w:r>
      <w:r>
        <w:t xml:space="preserve">records by an automated test suite that regenerates the analysis tables and compares them.</w:t>
      </w:r>
      <w:r>
        <w:t xml:space="preserve"> </w:t>
      </w:r>
      <w:r>
        <w:t xml:space="preserve">The acquisition procedure, the analysis and the figures are each a single command. The</w:t>
      </w:r>
      <w:r>
        <w:t xml:space="preserve"> </w:t>
      </w:r>
      <w:r>
        <w:t xml:space="preserve">components differ in status and are not claimed as uniformly open: the imaging is publicly</w:t>
      </w:r>
      <w:r>
        <w:t xml:space="preserve"> </w:t>
      </w:r>
      <w:r>
        <w:t xml:space="preserve">accessible under collection-specific licences; the segmentation software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weights are openly redistributable; the normalised-CTDI database is CC BY; the</w:t>
      </w:r>
      <w:r>
        <w:t xml:space="preserve"> </w:t>
      </w:r>
      <w:r>
        <w:t xml:space="preserve">HU-to-density anchor values are used by citation to ICRU Report 44 [20] and Schneider et</w:t>
      </w:r>
      <w:r>
        <w:t xml:space="preserve"> </w:t>
      </w:r>
      <w:r>
        <w:t xml:space="preserve">al. [21] rather than redistributed; and no Monte-Carlo coefficient table is included at all.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established by Turner et al. [13] and extended over larger patient</w:t>
      </w:r>
      <w:r>
        <w:t xml:space="preserve"> </w:t>
      </w:r>
      <w:r>
        <w:t xml:space="preserve">model libraries by Tian et al. [14], together with the transport considerations listed in</w:t>
      </w:r>
      <w:r>
        <w:t xml:space="preserve"> </w:t>
      </w:r>
      <w:r>
        <w:t xml:space="preserve">Section 2.9.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[22],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Ten series per manufacturer supports a median and an interquartile range,</w:t>
      </w:r>
      <w:r>
        <w:t xml:space="preserve"> </w:t>
      </w:r>
      <w:r>
        <w:t xml:space="preserve">not a distributional claim, and series within the archive are not independent with respect</w:t>
      </w:r>
      <w:r>
        <w:t xml:space="preserve"> </w:t>
      </w:r>
      <w:r>
        <w:t xml:space="preserve">to collection, site, scanner model or export pathway. The cohort is oncological and not a</w:t>
      </w:r>
      <w:r>
        <w:t xml:space="preserve"> </w:t>
      </w:r>
      <w:r>
        <w:t xml:space="preserve">reference population. Contrast phase, tube voltage and reconstruction kernel were not</w:t>
      </w:r>
      <w:r>
        <w:t xml:space="preserve"> </w:t>
      </w:r>
      <w:r>
        <w:t xml:space="preserve">controlled, and all affect attenuation-derived mass estimates. A single segmentation model</w:t>
      </w:r>
      <w:r>
        <w:t xml:space="preserve"> </w:t>
      </w:r>
      <w:r>
        <w:t xml:space="preserve">was used, so segmentation behaviour and cohort anatomy cannot be separated. There is no</w:t>
      </w:r>
      <w:r>
        <w:t xml:space="preserve"> </w:t>
      </w:r>
      <w:r>
        <w:t xml:space="preserve">subject-level ground truth for organ mass. Rotation time, pitch and collimation are absent</w:t>
      </w:r>
      <w:r>
        <w:t xml:space="preserve"> </w:t>
      </w:r>
      <w:r>
        <w:t xml:space="preserve">from the archived headers of some series (19, 8 and 9 respectively), so their constancy</w:t>
      </w:r>
      <w:r>
        <w:t xml:space="preserve"> </w:t>
      </w:r>
      <w:r>
        <w:t xml:space="preserve">within those series could not be fully verified and is assumed from the single-acquisition</w:t>
      </w:r>
      <w:r>
        <w:t xml:space="preserve"> </w:t>
      </w:r>
      <w:r>
        <w:t xml:space="preserve">representation; the acquisition-constancy criterion is therefore a screen against</w:t>
      </w:r>
      <w:r>
        <w:t xml:space="preserve"> </w:t>
      </w:r>
      <w:r>
        <w:t xml:space="preserve">detectable violations rather than a guarantee. The index addresses longitudinal modulation</w:t>
      </w:r>
      <w:r>
        <w:t xml:space="preserve"> </w:t>
      </w:r>
      <w:r>
        <w:t xml:space="preserve">only, as set out in Section 2.10,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44"/>
    <w:bookmarkStart w:id="4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dose, and did not propose a new index. It took</w:t>
      </w:r>
      <w:r>
        <w:t xml:space="preserve"> </w:t>
      </w:r>
      <w:r>
        <w:t xml:space="preserve">an organ-specific weighted CTDIvol already reported in the literature and established what</w:t>
      </w:r>
      <w:r>
        <w:t xml:space="preserve"> </w:t>
      </w:r>
      <w:r>
        <w:t xml:space="preserve">it yields when operationalised openly across manufacturers, from metadata a scanner</w:t>
      </w:r>
      <w:r>
        <w:t xml:space="preserve"> </w:t>
      </w:r>
      <w:r>
        <w:t xml:space="preserve">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45"/>
    <w:bookmarkStart w:id="46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46"/>
    <w:bookmarkStart w:id="4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47"/>
    <w:bookmarkStart w:id="48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8"/>
    <w:bookmarkStart w:id="49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49"/>
    <w:bookmarkStart w:id="50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[[ pending: RELEASE_TAG ]] (commit [[ pending: COMMIT_HASH ]]), archived at Zenodo under</w:t>
      </w:r>
      <w:r>
        <w:t xml:space="preserve"> </w:t>
      </w:r>
      <w:r>
        <w:t xml:space="preserve">[[ pending: ZENODO_VERSION_DOI ]].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[11].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0"/>
    <w:bookmarkStart w:id="51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1"/>
    <w:bookmarkStart w:id="52" w:name="X662c2d66dd1eda3268d2087202c966cd73b2601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(Claude, Anthropic) was used as a tool in</w:t>
      </w:r>
      <w:r>
        <w:t xml:space="preserve"> </w:t>
      </w:r>
      <w:r>
        <w:t xml:space="preserve">the development of the software and in drafting and editing the text of this manuscript.</w:t>
      </w:r>
      <w:r>
        <w:t xml:space="preserve"> </w:t>
      </w:r>
      <w:r>
        <w:t xml:space="preserve">All reported results are produced by executable code contained in the cited repository,</w:t>
      </w:r>
      <w:r>
        <w:t xml:space="preserve"> </w:t>
      </w:r>
      <w:r>
        <w:t xml:space="preserve">are re-derived from the underlying per-series records by an automated test suite, and were</w:t>
      </w:r>
      <w:r>
        <w:t xml:space="preserve"> </w:t>
      </w:r>
      <w:r>
        <w:t xml:space="preserve">verified by the author. All scientific judgements, interpretations and conclusions are the</w:t>
      </w:r>
      <w:r>
        <w:t xml:space="preserve"> </w:t>
      </w:r>
      <w:r>
        <w:t xml:space="preserve">author’s, who takes full responsibility for the content of this article.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McCollough, C.H.; Leng, S.; Yu, L.; Cody, D.D.; Boone, J.M.; McNitt-Gray, M.F. CT Dose</w:t>
      </w:r>
      <w:r>
        <w:t xml:space="preserve"> </w:t>
      </w:r>
      <w:r>
        <w:t xml:space="preserve">Index and Patient Dose: They Are Not the Same Thing.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259</w:t>
      </w:r>
      <w:r>
        <w:t xml:space="preserve">,</w:t>
      </w:r>
      <w:r>
        <w:t xml:space="preserve"> </w:t>
      </w:r>
      <w:r>
        <w:t xml:space="preserve">311–316. https://doi.org/10.1148/radiol.11101800</w:t>
      </w:r>
    </w:p>
    <w:p>
      <w:pPr>
        <w:pStyle w:val="Compact"/>
        <w:numPr>
          <w:ilvl w:val="0"/>
          <w:numId w:val="1002"/>
        </w:numPr>
      </w:pPr>
      <w:r>
        <w:t xml:space="preserve">Angel, E.; Yaghmai, N.; Jude, C.M.; DeMarco, J.J.; Cagnon, C.H.; Goldin, J.G.; Primak,</w:t>
      </w:r>
      <w:r>
        <w:t xml:space="preserve"> </w:t>
      </w:r>
      <w:r>
        <w:t xml:space="preserve">A.N.; Stevens, D.M.; Cody, D.D.; McCollough, C.H.; McNitt-Gray, M.F. Monte Carlo</w:t>
      </w:r>
      <w:r>
        <w:t xml:space="preserve"> </w:t>
      </w:r>
      <w:r>
        <w:t xml:space="preserve">Simulations to Assess the Effects of Tube Current Modulation on Breast Dose for</w:t>
      </w:r>
      <w:r>
        <w:t xml:space="preserve"> </w:t>
      </w:r>
      <w:r>
        <w:t xml:space="preserve">Multidetector CT.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54</w:t>
      </w:r>
      <w:r>
        <w:t xml:space="preserve">, 497–512.</w:t>
      </w:r>
      <w:r>
        <w:t xml:space="preserve"> </w:t>
      </w:r>
      <w:r>
        <w:t xml:space="preserve">https://doi.org/10.1088/0031-9155/54/3/003</w:t>
      </w:r>
    </w:p>
    <w:p>
      <w:pPr>
        <w:pStyle w:val="Compact"/>
        <w:numPr>
          <w:ilvl w:val="0"/>
          <w:numId w:val="1002"/>
        </w:numPr>
      </w:pPr>
      <w:r>
        <w:t xml:space="preserve">Khatonabadi, M.; Kim, H.J.; Lu, P.; McMillan, K.L.; Cagnon, C.H.; DeMarco, J.J.;</w:t>
      </w:r>
      <w:r>
        <w:t xml:space="preserve"> </w:t>
      </w:r>
      <w:r>
        <w:t xml:space="preserve">McNitt-Gray, M.F. The Feasibility of a Regional CTDIvol to Estimate Organ Dose from</w:t>
      </w:r>
      <w:r>
        <w:t xml:space="preserve"> </w:t>
      </w:r>
      <w:r>
        <w:t xml:space="preserve">Tube Current Modulated CT Exams.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, 051903.</w:t>
      </w:r>
      <w:r>
        <w:t xml:space="preserve"> </w:t>
      </w:r>
      <w:r>
        <w:t xml:space="preserve">https://doi.org/10.1118/1.4798561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Samei, E. Prospective Estimation of Organ</w:t>
      </w:r>
      <w:r>
        <w:t xml:space="preserve"> </w:t>
      </w:r>
      <w:r>
        <w:t xml:space="preserve">Dose in CT under Tube Current Modulation.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, 1575–1585.</w:t>
      </w:r>
      <w:r>
        <w:t xml:space="preserve"> </w:t>
      </w:r>
      <w:r>
        <w:t xml:space="preserve">https://doi.org/10.1118/1.4907955</w:t>
      </w:r>
    </w:p>
    <w:p>
      <w:pPr>
        <w:pStyle w:val="Compact"/>
        <w:numPr>
          <w:ilvl w:val="0"/>
          <w:numId w:val="1002"/>
        </w:numPr>
      </w:pPr>
      <w:r>
        <w:t xml:space="preserve">Bostani, M.; McMillan, K.; DeMarco, J.J.; Cagnon, C.H.; McNitt-Gray, M.F. Validation of</w:t>
      </w:r>
      <w:r>
        <w:t xml:space="preserve"> </w:t>
      </w:r>
      <w:r>
        <w:t xml:space="preserve">a Monte Carlo Model Used for Simulating Tube Current Modulation in Computed Tomography</w:t>
      </w:r>
      <w:r>
        <w:t xml:space="preserve"> </w:t>
      </w:r>
      <w:r>
        <w:t xml:space="preserve">over a Wide Range of Phantom Conditions/Challenges.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</w:t>
      </w:r>
    </w:p>
    <w:p>
      <w:pPr>
        <w:pStyle w:val="Compact"/>
        <w:numPr>
          <w:ilvl w:val="1"/>
          <w:numId w:val="1003"/>
        </w:numPr>
      </w:pPr>
      <w:r>
        <w:t xml:space="preserve">https://doi.org/10.1118/1.4887807</w:t>
      </w:r>
    </w:p>
    <w:p>
      <w:pPr>
        <w:pStyle w:val="Compact"/>
        <w:numPr>
          <w:ilvl w:val="0"/>
          <w:numId w:val="1002"/>
        </w:numPr>
      </w:pPr>
      <w:r>
        <w:t xml:space="preserve">Bostani, M.; McMillan, K.; Lu, P.; Kim, G.H.J.; Cody, D.; Arbique, G.; Greenberg, S.B.;</w:t>
      </w:r>
      <w:r>
        <w:t xml:space="preserve"> </w:t>
      </w:r>
      <w:r>
        <w:t xml:space="preserve">DeMarco, J.J.; Cagnon, C.H.; McNitt-Gray, M.F. Estimating Organ Doses from Tube Current</w:t>
      </w:r>
      <w:r>
        <w:t xml:space="preserve"> </w:t>
      </w:r>
      <w:r>
        <w:t xml:space="preserve">Modulated CT Examinations Using a Generalized Linear Model.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2017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,</w:t>
      </w:r>
      <w:r>
        <w:t xml:space="preserve"> </w:t>
      </w:r>
      <w:r>
        <w:t xml:space="preserve">1500–1513. https://doi.org/10.1002/mp.12119</w:t>
      </w:r>
    </w:p>
    <w:p>
      <w:pPr>
        <w:pStyle w:val="Compact"/>
        <w:numPr>
          <w:ilvl w:val="0"/>
          <w:numId w:val="1002"/>
        </w:numPr>
      </w:pPr>
      <w:r>
        <w:t xml:space="preserve">McMillan, K.; Bostani, M.; Cagnon, C.H.; Yu, L.; Leng, S.; McCollough, C.H.;</w:t>
      </w:r>
      <w:r>
        <w:t xml:space="preserve"> </w:t>
      </w:r>
      <w:r>
        <w:t xml:space="preserve">McNitt-Gray, M.F. Estimating Patient Dose from CT Exams That Use Automatic Exposure</w:t>
      </w:r>
      <w:r>
        <w:t xml:space="preserve"> </w:t>
      </w:r>
      <w:r>
        <w:t xml:space="preserve">Control: Development and Validation of Methods to Accurately Estimate Tube Current</w:t>
      </w:r>
      <w:r>
        <w:t xml:space="preserve"> </w:t>
      </w:r>
      <w:r>
        <w:t xml:space="preserve">Values.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2017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, 4262–4275. https://doi.org/10.1002/mp.12314</w:t>
      </w:r>
    </w:p>
    <w:p>
      <w:pPr>
        <w:pStyle w:val="Compact"/>
        <w:numPr>
          <w:ilvl w:val="0"/>
          <w:numId w:val="1002"/>
        </w:numPr>
      </w:pPr>
      <w:r>
        <w:t xml:space="preserve">Li, X.; Marschall, T.A.; Yang, K.; Liu, B. Technical Note: Advancing Size-Specific</w:t>
      </w:r>
      <w:r>
        <w:t xml:space="preserve"> </w:t>
      </w:r>
      <w:r>
        <w:t xml:space="preserve">Dose Estimates in CT Examinations: Dose Estimates at Longitudinal Positions of Scans.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1303–1311. https://doi.org/10.1002/mp.15402</w:t>
      </w:r>
    </w:p>
    <w:p>
      <w:pPr>
        <w:pStyle w:val="Compact"/>
        <w:numPr>
          <w:ilvl w:val="0"/>
          <w:numId w:val="1002"/>
        </w:numPr>
      </w:pPr>
      <w:r>
        <w:t xml:space="preserve">Nuntue, C.; Matsubara, K.; Watanabe, S.; Fukushima, K.; Tantiwetchayanon, K. Improved</w:t>
      </w:r>
      <w:r>
        <w:t xml:space="preserve"> </w:t>
      </w:r>
      <w:r>
        <w:t xml:space="preserve">Organ Absorbed Dose Estimation in Abdominal CT Using DICOM Header-Based Tube Current</w:t>
      </w:r>
      <w:r>
        <w:t xml:space="preserve"> </w:t>
      </w:r>
      <w:r>
        <w:t xml:space="preserve">Modulation Profiles: Validation with Measurements and Monte Carlo Simulations.</w:t>
      </w:r>
      <w:r>
        <w:t xml:space="preserve"> </w:t>
      </w:r>
      <w:r>
        <w:rPr>
          <w:i/>
          <w:iCs/>
        </w:rPr>
        <w:t xml:space="preserve">J.</w:t>
      </w:r>
      <w:r>
        <w:rPr>
          <w:i/>
          <w:iCs/>
        </w:rPr>
        <w:t xml:space="preserve"> </w:t>
      </w:r>
      <w:r>
        <w:rPr>
          <w:i/>
          <w:iCs/>
        </w:rPr>
        <w:t xml:space="preserve">Appl. Clin. Med. Phys.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e70321. https://doi.org/10.1002/acm2.70321</w:t>
      </w:r>
    </w:p>
    <w:p>
      <w:pPr>
        <w:pStyle w:val="Compact"/>
        <w:numPr>
          <w:ilvl w:val="0"/>
          <w:numId w:val="1002"/>
        </w:numPr>
      </w:pPr>
      <w:r>
        <w:t xml:space="preserve">Eom, Y.; Park, Y.-J.; Lee, S.; Lee, S.-J.; An, Y.-S.; Park, B.-N.; Yoon, J.-K.</w:t>
      </w:r>
      <w:r>
        <w:t xml:space="preserve"> </w:t>
      </w:r>
      <w:r>
        <w:t xml:space="preserve">Automated Measurement of Effective Radiation Dose by 18F-Fluorodeoxyglucose Positron</w:t>
      </w:r>
      <w:r>
        <w:t xml:space="preserve"> </w:t>
      </w:r>
      <w:r>
        <w:t xml:space="preserve">Emission Tomography/Computed Tomography.</w:t>
      </w:r>
      <w:r>
        <w:t xml:space="preserve"> </w:t>
      </w:r>
      <w:r>
        <w:rPr>
          <w:i/>
          <w:iCs/>
        </w:rPr>
        <w:t xml:space="preserve">Tomography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, 2144–2157.</w:t>
      </w:r>
      <w:r>
        <w:t xml:space="preserve"> </w:t>
      </w:r>
      <w:r>
        <w:t xml:space="preserve">https://doi.org/10.3390/tomography10120151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Isensee, F.; Jaeger, P.F.; Kohl, S.A.A.; Petersen, J.; Maier-Hein, K.H. nnU-Net: A</w:t>
      </w:r>
      <w:r>
        <w:t xml:space="preserve"> </w:t>
      </w:r>
      <w:r>
        <w:t xml:space="preserve">Self-Configuring Method for Deep Learning-Based Biomedical Image Segmentation.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203–211. https://doi.org/10.1038/s41592-020-01008-z</w:t>
      </w:r>
    </w:p>
    <w:p>
      <w:pPr>
        <w:pStyle w:val="Compact"/>
        <w:numPr>
          <w:ilvl w:val="0"/>
          <w:numId w:val="1002"/>
        </w:numPr>
      </w:pPr>
      <w:r>
        <w:t xml:space="preserve">Turner, A.C.; Zhang, D.; Khatonabadi, M.; Zankl, M.; DeMarco, J.J.; Cagnon, C.H.; Cody,</w:t>
      </w:r>
      <w:r>
        <w:t xml:space="preserve"> </w:t>
      </w:r>
      <w:r>
        <w:t xml:space="preserve">D.D.; Stevens, D.M.; McCollough, C.H.; McNitt-Gray, M.F. The Feasibility of Patient</w:t>
      </w:r>
      <w:r>
        <w:t xml:space="preserve"> </w:t>
      </w:r>
      <w:r>
        <w:t xml:space="preserve">Size-Corrected, Scanner-Independent Organ Dose Estimates for Abdominal CT Exams.</w:t>
      </w:r>
      <w:r>
        <w:t xml:space="preserve"> </w:t>
      </w:r>
      <w:r>
        <w:rPr>
          <w:i/>
          <w:iCs/>
        </w:rPr>
        <w:t xml:space="preserve">Med.</w:t>
      </w:r>
      <w:r>
        <w:rPr>
          <w:i/>
          <w:iCs/>
        </w:rPr>
        <w:t xml:space="preserve"> </w:t>
      </w:r>
      <w:r>
        <w:rPr>
          <w:i/>
          <w:iCs/>
        </w:rPr>
        <w:t xml:space="preserve">Phys.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820–829. https://doi.org/10.1118/1.3533897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Paulson, E.K.; Samei, E. Dose Coefficients</w:t>
      </w:r>
      <w:r>
        <w:t xml:space="preserve"> </w:t>
      </w:r>
      <w:r>
        <w:t xml:space="preserve">in Pediatric and Adult Abdominopelvic CT Based on 100 Patient Models.</w:t>
      </w:r>
      <w:r>
        <w:t xml:space="preserve"> </w:t>
      </w:r>
      <w:r>
        <w:rPr>
          <w:i/>
          <w:iCs/>
        </w:rPr>
        <w:t xml:space="preserve">Phys. Med.</w:t>
      </w:r>
      <w:r>
        <w:rPr>
          <w:i/>
          <w:iCs/>
        </w:rPr>
        <w:t xml:space="preserve"> </w:t>
      </w:r>
      <w:r>
        <w:rPr>
          <w:i/>
          <w:iCs/>
        </w:rPr>
        <w:t xml:space="preserve">Biol.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 8755–8768. https://doi.org/10.1088/0031-9155/58/24/8755</w:t>
      </w:r>
    </w:p>
    <w:p>
      <w:pPr>
        <w:pStyle w:val="Compact"/>
        <w:numPr>
          <w:ilvl w:val="0"/>
          <w:numId w:val="1002"/>
        </w:numPr>
      </w:pPr>
      <w:r>
        <w:t xml:space="preserve">Sahbaee, P.; Segars, W.P.; Samei, E. Patient-Based Estimation of Organ Dose for a</w:t>
      </w:r>
      <w:r>
        <w:t xml:space="preserve"> </w:t>
      </w:r>
      <w:r>
        <w:t xml:space="preserve">Population of 58 Adult Patients across 13 Protocol Categories.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072104. https://doi.org/10.1118/1.4883778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Clark, K.; Vendt, B.; Smith, K.; Freymann, J.; Kirby, J.; Koppel, P.; Moore, S.;</w:t>
      </w:r>
      <w:r>
        <w:t xml:space="preserve"> </w:t>
      </w:r>
      <w:r>
        <w:t xml:space="preserve">Phillips, S.; Maffitt, D.; Pringle, M.; Tarbox, L.; Prior, F. The Cancer Imaging</w:t>
      </w:r>
      <w:r>
        <w:t xml:space="preserve"> </w:t>
      </w:r>
      <w:r>
        <w:t xml:space="preserve">Archive (TCIA): Maintaining and Operating a Public Information Repository.</w:t>
      </w:r>
      <w:r>
        <w:t xml:space="preserve"> </w:t>
      </w:r>
      <w:r>
        <w:rPr>
          <w:i/>
          <w:iCs/>
        </w:rPr>
        <w:t xml:space="preserve">J. Digit.</w:t>
      </w:r>
      <w:r>
        <w:rPr>
          <w:i/>
          <w:iCs/>
        </w:rPr>
        <w:t xml:space="preserve"> </w:t>
      </w:r>
      <w:r>
        <w:rPr>
          <w:i/>
          <w:iCs/>
        </w:rPr>
        <w:t xml:space="preserve">Imaging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1045–1057. https://doi.org/10.1007/s10278-013-9622-7</w:t>
      </w:r>
    </w:p>
    <w:p>
      <w:pPr>
        <w:pStyle w:val="Compact"/>
        <w:numPr>
          <w:ilvl w:val="0"/>
          <w:numId w:val="1002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https://doi.org/10.5281/zenodo.21636082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</w:t>
      </w:r>
      <w:r>
        <w:t xml:space="preserve"> </w:t>
      </w:r>
      <w:r>
        <w:t xml:space="preserve">The 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</w:t>
      </w:r>
      <w:r>
        <w:t xml:space="preserve"> </w:t>
      </w:r>
      <w:r>
        <w:t xml:space="preserve">Values 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 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12101">
    <w:nsid w:val="A9941112101"/>
    <w:multiLevelType w:val="multilevel"/>
    <w:lvl w:ilvl="0">
      <w:start w:val="112101"/>
      <w:numFmt w:val="decimal"/>
      <w:lvlText w:val="%1."/>
      <w:lvlJc w:val="left"/>
      <w:pPr>
        <w:ind w:left="720" w:hanging="360"/>
      </w:pPr>
    </w:lvl>
    <w:lvl w:ilvl="1">
      <w:start w:val="112101"/>
      <w:numFmt w:val="decimal"/>
      <w:lvlText w:val="%2."/>
      <w:lvlJc w:val="left"/>
      <w:pPr>
        <w:ind w:left="1440" w:hanging="360"/>
      </w:pPr>
    </w:lvl>
    <w:lvl w:ilvl="2">
      <w:start w:val="112101"/>
      <w:numFmt w:val="decimal"/>
      <w:lvlText w:val="%3."/>
      <w:lvlJc w:val="left"/>
      <w:pPr>
        <w:ind w:left="2160" w:hanging="360"/>
      </w:pPr>
    </w:lvl>
    <w:lvl w:ilvl="3">
      <w:start w:val="112101"/>
      <w:numFmt w:val="decimal"/>
      <w:lvlText w:val="%4."/>
      <w:lvlJc w:val="left"/>
      <w:pPr>
        <w:ind w:left="2880" w:hanging="360"/>
      </w:pPr>
    </w:lvl>
    <w:lvl w:ilvl="4">
      <w:start w:val="112101"/>
      <w:numFmt w:val="decimal"/>
      <w:lvlText w:val="%5."/>
      <w:lvlJc w:val="left"/>
      <w:pPr>
        <w:ind w:left="3600" w:hanging="360"/>
      </w:pPr>
    </w:lvl>
    <w:lvl w:ilvl="5">
      <w:start w:val="112101"/>
      <w:numFmt w:val="decimal"/>
      <w:lvlText w:val="%6."/>
      <w:lvlJc w:val="left"/>
      <w:pPr>
        <w:ind w:left="4320" w:hanging="360"/>
      </w:pPr>
    </w:lvl>
    <w:lvl w:ilvl="6">
      <w:start w:val="112101"/>
      <w:numFmt w:val="decimal"/>
      <w:lvlText w:val="%7."/>
      <w:lvlJc w:val="left"/>
      <w:pPr>
        <w:ind w:left="5040" w:hanging="360"/>
      </w:pPr>
    </w:lvl>
    <w:lvl w:ilvl="7">
      <w:start w:val="112101"/>
      <w:numFmt w:val="decimal"/>
      <w:lvlText w:val="%8."/>
      <w:lvlJc w:val="left"/>
      <w:pPr>
        <w:ind w:left="5760" w:hanging="360"/>
      </w:pPr>
    </w:lvl>
    <w:lvl w:ilvl="8">
      <w:start w:val="11210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12101"/>
    <w:lvlOverride w:ilvl="0">
      <w:startOverride w:val="112101"/>
    </w:lvlOverride>
    <w:lvlOverride w:ilvl="1">
      <w:startOverride w:val="112101"/>
    </w:lvlOverride>
    <w:lvlOverride w:ilvl="2">
      <w:startOverride w:val="112101"/>
    </w:lvlOverride>
    <w:lvlOverride w:ilvl="3">
      <w:startOverride w:val="112101"/>
    </w:lvlOverride>
    <w:lvlOverride w:ilvl="4">
      <w:startOverride w:val="112101"/>
    </w:lvlOverride>
    <w:lvlOverride w:ilvl="5">
      <w:startOverride w:val="112101"/>
    </w:lvlOverride>
    <w:lvlOverride w:ilvl="6">
      <w:startOverride w:val="112101"/>
    </w:lvlOverride>
    <w:lvlOverride w:ilvl="7">
      <w:startOverride w:val="112101"/>
    </w:lvlOverride>
    <w:lvlOverride w:ilvl="8">
      <w:startOverride w:val="11210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2026-08-06T03:04:01Z</dcterms:created>
  <dcterms:modified xsi:type="dcterms:W3CDTF">2026-08-06T03:04:01Z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