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8262add42ea8d56622f6b373f153214da92c143"/>
    <w:p>
      <w:pPr>
        <w:pStyle w:val="Heading1"/>
      </w:pPr>
      <w:r>
        <w:t xml:space="preserve">Anatomy-Weighted CTDIvol from Routine CT Metadata: A Patient-Specific, Multi-Vendor Study Using Deep-Learning Segmentation</w:t>
      </w:r>
    </w:p>
    <w:p>
      <w:pPr>
        <w:pStyle w:val="FirstParagraph"/>
      </w:pPr>
      <w:r>
        <w:rPr>
          <w:b/>
          <w:bCs/>
        </w:rPr>
        <w:t xml:space="preserve">Shuji Yamamoto</w:t>
      </w:r>
    </w:p>
    <w:p>
      <w:pPr>
        <w:pStyle w:val="BodyText"/>
      </w:pPr>
      <w:r>
        <w:t xml:space="preserve">Institute of One, LISIT Co., Ltd., Tokyo, Japan; yamamoto@lisit.jp; ORCID 0000-0001-9211-1071</w:t>
      </w:r>
    </w:p>
    <w:p>
      <w:pPr>
        <w:pStyle w:val="BodyText"/>
      </w:pPr>
      <w:r>
        <w:rPr>
          <w:b/>
          <w:bCs/>
        </w:rPr>
        <w:t xml:space="preserve">Correspondence:</w:t>
      </w:r>
      <w:r>
        <w:t xml:space="preserve"> </w:t>
      </w:r>
      <w:r>
        <w:t xml:space="preserve">yamamoto@lisit.jp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CTDIvol is a scanner-output index, not a patient or organ dose, and cannot express how</w:t>
      </w:r>
      <w:r>
        <w:t xml:space="preserve"> </w:t>
      </w:r>
      <w:r>
        <w:t xml:space="preserve">tube-current modulation varies along a patient. An organ-specific weighted CTDIvol</w:t>
      </w:r>
      <w:r>
        <w:t xml:space="preserve"> </w:t>
      </w:r>
      <w:r>
        <w:t xml:space="preserve">addressing this has been reported previously, but on single-institution cohorts and often</w:t>
      </w:r>
      <w:r>
        <w:t xml:space="preserve"> </w:t>
      </w:r>
      <w:r>
        <w:t xml:space="preserve">from data archives do not retain. We operationalised that quantity openly across</w:t>
      </w:r>
      <w:r>
        <w:t xml:space="preserve"> </w:t>
      </w:r>
      <w:r>
        <w:t xml:space="preserve">manufacturers, from routine DICOM metadata and automated segmentation alone; it is not an</w:t>
      </w:r>
      <w:r>
        <w:t xml:space="preserve"> </w:t>
      </w:r>
      <w:r>
        <w:t xml:space="preserve">estimate of absorbed organ dose. Forty abdominal CT series, ten per manufacturer, were</w:t>
      </w:r>
      <w:r>
        <w:t xml:space="preserve"> </w:t>
      </w:r>
      <w:r>
        <w:t xml:space="preserve">drawn from The Cancer Imaging Archive and twelve organs segmented with TotalSegmentator at</w:t>
      </w:r>
      <w:r>
        <w:t xml:space="preserve"> </w:t>
      </w:r>
      <w:r>
        <w:t xml:space="preserve">inference only. Of 480 requested organ–series combinations, 455 were produced; the</w:t>
      </w:r>
      <w:r>
        <w:t xml:space="preserve"> </w:t>
      </w:r>
      <w:r>
        <w:t xml:space="preserve">remaining 25 organs lay outside the scanned range. A prespecified acquisition-constancy</w:t>
      </w:r>
      <w:r>
        <w:t xml:space="preserve"> </w:t>
      </w:r>
      <w:r>
        <w:t xml:space="preserve">criterion admitted 39 of the 40 series. Modulation weights spanned 0.59 to 1.69, so the</w:t>
      </w:r>
      <w:r>
        <w:t xml:space="preserve"> </w:t>
      </w:r>
      <w:r>
        <w:t xml:space="preserve">index departs from the whole-scan CTDIvol by up to 70% within one acquisition. A recorded</w:t>
      </w:r>
      <w:r>
        <w:t xml:space="preserve"> </w:t>
      </w:r>
      <w:r>
        <w:t xml:space="preserve">CTDIvol was retained in the archived headers of 29 of 40 series, was reconstructable in 5</w:t>
      </w:r>
      <w:r>
        <w:t xml:space="preserve"> </w:t>
      </w:r>
      <w:r>
        <w:t xml:space="preserve">and unavailable in 6, differing markedly between manufacturers. Estimated organ mass was</w:t>
      </w:r>
      <w:r>
        <w:t xml:space="preserve"> </w:t>
      </w:r>
      <w:r>
        <w:t xml:space="preserve">broadly consistent with ICRP 89 values for liver and kidneys. Conversion to absorbed organ</w:t>
      </w:r>
      <w:r>
        <w:t xml:space="preserve"> </w:t>
      </w:r>
      <w:r>
        <w:t xml:space="preserve">dose requires Monte-Carlo coefficients this index does not replace. The implementation and</w:t>
      </w:r>
      <w:r>
        <w:t xml:space="preserve"> </w:t>
      </w:r>
      <w:r>
        <w:t xml:space="preserve">derived records are openly available.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computed tomography; CTDIvol; tube-current modulation; deep-learning</w:t>
      </w:r>
      <w:r>
        <w:t xml:space="preserve"> </w:t>
      </w:r>
      <w:r>
        <w:t xml:space="preserve">segmentation; TotalSegmentator; image-based dosimetry indices; reproducibility; open data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Two different things are routinely conflated when CT dose is discussed. The first is that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dose index</w:t>
      </w:r>
      <w:r>
        <w:t xml:space="preserve"> </w:t>
      </w:r>
      <w:r>
        <w:t xml:space="preserve">is not a</w:t>
      </w:r>
      <w:r>
        <w:t xml:space="preserve"> </w:t>
      </w:r>
      <w:r>
        <w:rPr>
          <w:i/>
          <w:iCs/>
        </w:rPr>
        <w:t xml:space="preserve">dose</w:t>
      </w:r>
      <w:r>
        <w:t xml:space="preserve">: CTDIvol describes the output of a scanner into a standard</w:t>
      </w:r>
      <w:r>
        <w:t xml:space="preserve"> </w:t>
      </w:r>
      <w:r>
        <w:t xml:space="preserve">cylinder of acrylic, and is a property of the acquisition rather than of the patient in</w:t>
      </w:r>
      <w:r>
        <w:t xml:space="preserve"> </w:t>
      </w:r>
      <w:r>
        <w:t xml:space="preserve">it — a distinction set out explicitly by McCollough et al. [1]. The second is that a</w:t>
      </w:r>
      <w:r>
        <w:t xml:space="preserve"> </w:t>
      </w:r>
      <w:r>
        <w:t xml:space="preserve">single value per series cannot express variation along the patient: almost every modern</w:t>
      </w:r>
      <w:r>
        <w:t xml:space="preserve"> </w:t>
      </w:r>
      <w:r>
        <w:t xml:space="preserve">acquisition modulates the tube current longitudinally, so the conditions over the liver</w:t>
      </w:r>
      <w:r>
        <w:t xml:space="preserve"> </w:t>
      </w:r>
      <w:r>
        <w:t xml:space="preserve">and over the bladder are not the same, and one number for the series conceals that.</w:t>
      </w:r>
    </w:p>
    <w:p>
      <w:pPr>
        <w:pStyle w:val="BodyText"/>
      </w:pPr>
      <w:r>
        <w:t xml:space="preserve">That second point is well established. Angel et al. showed that tube-current modulation</w:t>
      </w:r>
      <w:r>
        <w:t xml:space="preserve"> </w:t>
      </w:r>
      <w:r>
        <w:t xml:space="preserve">changes organ dose substantially and size-dependently [2]. Khatonabadi et al. demonstrated</w:t>
      </w:r>
      <w:r>
        <w:t xml:space="preserve"> </w:t>
      </w:r>
      <w:r>
        <w:t xml:space="preserve">that a</w:t>
      </w:r>
      <w:r>
        <w:t xml:space="preserve"> </w:t>
      </w:r>
      <w:r>
        <w:rPr>
          <w:i/>
          <w:iCs/>
        </w:rPr>
        <w:t xml:space="preserve">regional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organ-specific</w:t>
      </w:r>
      <w:r>
        <w:t xml:space="preserve"> </w:t>
      </w:r>
      <w:r>
        <w:t xml:space="preserve">CTDIvol, formed from the modulation profile over an</w:t>
      </w:r>
      <w:r>
        <w:t xml:space="preserve"> </w:t>
      </w:r>
      <w:r>
        <w:t xml:space="preserve">organ’s own location, tracks Monte-Carlo organ dose far better than the whole-scan value,</w:t>
      </w:r>
      <w:r>
        <w:t xml:space="preserve"> </w:t>
      </w:r>
      <w:r>
        <w:t xml:space="preserve">raising the coefficient of determination for liver dose from 0.26 to 0.86 [3]. Tian et al.</w:t>
      </w:r>
      <w:r>
        <w:t xml:space="preserve"> </w:t>
      </w:r>
      <w:r>
        <w:t xml:space="preserve">formalised a</w:t>
      </w:r>
      <w:r>
        <w:t xml:space="preserve"> </w:t>
      </w:r>
      <w:r>
        <w:rPr>
          <w:b/>
          <w:bCs/>
        </w:rPr>
        <w:t xml:space="preserve">weighted organ-specific CTDIvol</w:t>
      </w:r>
      <w:r>
        <w:t xml:space="preserve"> </w:t>
      </w:r>
      <w:r>
        <w:t xml:space="preserve">computed from the modulation profile and</w:t>
      </w:r>
      <w:r>
        <w:t xml:space="preserve"> </w:t>
      </w:r>
      <w:r>
        <w:t xml:space="preserve">used it, with organ-dose coefficients, to predict organ dose prospectively [4]. Related</w:t>
      </w:r>
      <w:r>
        <w:t xml:space="preserve"> </w:t>
      </w:r>
      <w:r>
        <w:t xml:space="preserve">work has validated Monte-Carlo modelling of modulation [5], generalised organ-dose</w:t>
      </w:r>
      <w:r>
        <w:t xml:space="preserve"> </w:t>
      </w:r>
      <w:r>
        <w:t xml:space="preserve">estimation under modulation using patient-size descriptors [6], and recovered tube-current</w:t>
      </w:r>
      <w:r>
        <w:t xml:space="preserve"> </w:t>
      </w:r>
      <w:r>
        <w:t xml:space="preserve">profiles where they were not directly available [7].</w:t>
      </w:r>
    </w:p>
    <w:p>
      <w:pPr>
        <w:pStyle w:val="BodyText"/>
      </w:pPr>
      <w:r>
        <w:rPr>
          <w:b/>
          <w:bCs/>
        </w:rPr>
        <w:t xml:space="preserve">The quantity examined here is therefore not new, and no new index is proposed.</w:t>
      </w:r>
      <w:r>
        <w:t xml:space="preserve"> </w:t>
      </w:r>
      <w:r>
        <w:t xml:space="preserve">This</w:t>
      </w:r>
      <w:r>
        <w:t xml:space="preserve"> </w:t>
      </w:r>
      <w:r>
        <w:t xml:space="preserve">study takes the organ-specific weighted CTDIvol already reported in that literature and</w:t>
      </w:r>
      <w:r>
        <w:t xml:space="preserve"> </w:t>
      </w:r>
      <w:r>
        <w:t xml:space="preserve">asks a different question: what happens when it is operationalised openly, end to end, on</w:t>
      </w:r>
      <w:r>
        <w:t xml:space="preserve"> </w:t>
      </w:r>
      <w:r>
        <w:t xml:space="preserve">heterogeneous archived data from four manufacturers, using automated segmentation and</w:t>
      </w:r>
      <w:r>
        <w:t xml:space="preserve"> </w:t>
      </w:r>
      <w:r>
        <w:t xml:space="preserve">nothing but the metadata a scanner already writes?</w:t>
      </w:r>
    </w:p>
    <w:p>
      <w:pPr>
        <w:pStyle w:val="BodyText"/>
      </w:pPr>
      <w:r>
        <w:t xml:space="preserve">The existing work does not answer that, and the gap is structural rather than incidental.</w:t>
      </w:r>
      <w:r>
        <w:t xml:space="preserve"> </w:t>
      </w:r>
      <w:r>
        <w:t xml:space="preserve">Those studies rest on single-institution cohorts and one or two scanner models; several</w:t>
      </w:r>
      <w:r>
        <w:t xml:space="preserve"> </w:t>
      </w:r>
      <w:r>
        <w:t xml:space="preserve">require raw projection data or vendor-supplied modulation profiles, which archived DICOM</w:t>
      </w:r>
      <w:r>
        <w:t xml:space="preserve"> </w:t>
      </w:r>
      <w:r>
        <w:t xml:space="preserve">does not retain; their organ contours are manual or semi-automatic; and neither their</w:t>
      </w:r>
      <w:r>
        <w:t xml:space="preserve"> </w:t>
      </w:r>
      <w:r>
        <w:t xml:space="preserve">implementations nor their coefficient tables are openly redistributable. Three practical</w:t>
      </w:r>
      <w:r>
        <w:t xml:space="preserve"> </w:t>
      </w:r>
      <w:r>
        <w:t xml:space="preserve">questions therefore remain open: whether the quantity can be computed at all from what</w:t>
      </w:r>
      <w:r>
        <w:t xml:space="preserve"> </w:t>
      </w:r>
      <w:r>
        <w:t xml:space="preserve">public archives actually keep, how it behaves across manufacturers when it can, and what</w:t>
      </w:r>
      <w:r>
        <w:t xml:space="preserve"> </w:t>
      </w:r>
      <w:r>
        <w:t xml:space="preserve">fraction of archived data supports it. Deep-learning segmentation removes the obstacle</w:t>
      </w:r>
      <w:r>
        <w:t xml:space="preserve"> </w:t>
      </w:r>
      <w:r>
        <w:t xml:space="preserve">that previously made the attempt impractical at scale — a general-purpose segmenter such</w:t>
      </w:r>
      <w:r>
        <w:t xml:space="preserve"> </w:t>
      </w:r>
      <w:r>
        <w:t xml:space="preserve">as TotalSegmentator [8], built on nnU-Net [9], produces abdominal organ masks from a</w:t>
      </w:r>
      <w:r>
        <w:t xml:space="preserve"> </w:t>
      </w:r>
      <w:r>
        <w:t xml:space="preserve">routine series in seconds at inference only, so the anatomy is now effectively free.</w:t>
      </w:r>
    </w:p>
    <w:p>
      <w:pPr>
        <w:pStyle w:val="BodyText"/>
      </w:pPr>
      <w:r>
        <w:t xml:space="preserve">This study is accordingly an</w:t>
      </w:r>
      <w:r>
        <w:t xml:space="preserve"> </w:t>
      </w:r>
      <w:r>
        <w:rPr>
          <w:b/>
          <w:bCs/>
        </w:rPr>
        <w:t xml:space="preserve">open, multi-vendor operationalisation and empirical</w:t>
      </w:r>
      <w:r>
        <w:rPr>
          <w:b/>
          <w:bCs/>
        </w:rPr>
        <w:t xml:space="preserve"> </w:t>
      </w:r>
      <w:r>
        <w:rPr>
          <w:b/>
          <w:bCs/>
        </w:rPr>
        <w:t xml:space="preserve">characterisation</w:t>
      </w:r>
      <w:r>
        <w:t xml:space="preserve"> </w:t>
      </w:r>
      <w:r>
        <w:t xml:space="preserve">of a previously reported quantity: the whole-scan CTDIvol scaled by a</w:t>
      </w:r>
      <w:r>
        <w:t xml:space="preserve"> </w:t>
      </w:r>
      <w:r>
        <w:t xml:space="preserve">dimensionless, organ-specific weight formed from the recorded per-slice tube current over</w:t>
      </w:r>
      <w:r>
        <w:t xml:space="preserve"> </w:t>
      </w:r>
      <w:r>
        <w:t xml:space="preserve">that organ’s segmented longitudinal extent, referred to here as the anatomy-weighted</w:t>
      </w:r>
      <w:r>
        <w:t xml:space="preserve"> </w:t>
      </w:r>
      <w:r>
        <w:t xml:space="preserve">CTDIvol index. It is explicitly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an estimate of absorbed organ dose, and Section 2.10</w:t>
      </w:r>
      <w:r>
        <w:t xml:space="preserve"> </w:t>
      </w:r>
      <w:r>
        <w:t xml:space="preserve">sets out what it does not account for.</w:t>
      </w:r>
    </w:p>
    <w:p>
      <w:pPr>
        <w:pStyle w:val="BodyText"/>
      </w:pPr>
      <w:r>
        <w:t xml:space="preserve">Converting an index of this kind into an absorbed organ dose in milligray requires</w:t>
      </w:r>
      <w:r>
        <w:t xml:space="preserve"> </w:t>
      </w:r>
      <w:r>
        <w:t xml:space="preserve">CTDIvol-normalised organ-dose coefficients, computed by Monte-Carlo simulation over</w:t>
      </w:r>
      <w:r>
        <w:t xml:space="preserve"> </w:t>
      </w:r>
      <w:r>
        <w:t xml:space="preserve">anthropomorphic phantoms and corrected for patient size [10,11,12]. Such coefficient sets</w:t>
      </w:r>
      <w:r>
        <w:t xml:space="preserve"> </w:t>
      </w:r>
      <w:r>
        <w:t xml:space="preserve">exist, are well validated, and are in routine use; the index reported here does not</w:t>
      </w:r>
      <w:r>
        <w:t xml:space="preserve"> </w:t>
      </w:r>
      <w:r>
        <w:t xml:space="preserve">replace them and is not offered as a surrogate for their output.</w:t>
      </w:r>
    </w:p>
    <w:p>
      <w:pPr>
        <w:pStyle w:val="BodyText"/>
      </w:pPr>
      <w:r>
        <w:t xml:space="preserve">The contributions are:</w:t>
      </w:r>
    </w:p>
    <w:p>
      <w:pPr>
        <w:pStyle w:val="Compact"/>
        <w:numPr>
          <w:ilvl w:val="0"/>
          <w:numId w:val="1001"/>
        </w:numPr>
      </w:pPr>
      <w:r>
        <w:t xml:space="preserve">An open, end-to-end implementation of the organ-specific weighted CTDIvol computed</w:t>
      </w:r>
      <w:r>
        <w:t xml:space="preserve"> </w:t>
      </w:r>
      <w:r>
        <w:t xml:space="preserve">entirely from data a scanner already records, requiring neither projection data nor</w:t>
      </w:r>
      <w:r>
        <w:t xml:space="preserve"> </w:t>
      </w:r>
      <w:r>
        <w:t xml:space="preserve">manual contouring.</w:t>
      </w:r>
    </w:p>
    <w:p>
      <w:pPr>
        <w:pStyle w:val="Compact"/>
        <w:numPr>
          <w:ilvl w:val="0"/>
          <w:numId w:val="1001"/>
        </w:numPr>
      </w:pPr>
      <w:r>
        <w:t xml:space="preserve">The first multi-vendor empirical characterisation of that quantity on public archive</w:t>
      </w:r>
      <w:r>
        <w:t xml:space="preserve"> </w:t>
      </w:r>
      <w:r>
        <w:t xml:space="preserve">data: its range, its within-acquisition spread, and its behaviour across four</w:t>
      </w:r>
      <w:r>
        <w:t xml:space="preserve"> </w:t>
      </w:r>
      <w:r>
        <w:t xml:space="preserve">manufacturers.</w:t>
      </w:r>
    </w:p>
    <w:p>
      <w:pPr>
        <w:pStyle w:val="Compact"/>
        <w:numPr>
          <w:ilvl w:val="0"/>
          <w:numId w:val="1001"/>
        </w:numPr>
      </w:pPr>
      <w:r>
        <w:t xml:space="preserve">A description, for this archive sample, of how often the required inputs are actually</w:t>
      </w:r>
      <w:r>
        <w:t xml:space="preserve"> </w:t>
      </w:r>
      <w:r>
        <w:t xml:space="preserve">retained in archived DICOM headers — a precondition for any retrospective study of</w:t>
      </w:r>
      <w:r>
        <w:t xml:space="preserve"> </w:t>
      </w:r>
      <w:r>
        <w:t xml:space="preserve">this kind.</w:t>
      </w:r>
    </w:p>
    <w:p>
      <w:pPr>
        <w:pStyle w:val="Compact"/>
        <w:numPr>
          <w:ilvl w:val="0"/>
          <w:numId w:val="1001"/>
        </w:numPr>
      </w:pPr>
      <w:r>
        <w:t xml:space="preserve">A prespecified acquisition-constancy criterion that makes the assumption underlying</w:t>
      </w:r>
      <w:r>
        <w:t xml:space="preserve"> </w:t>
      </w:r>
      <w:r>
        <w:t xml:space="preserve">the weighting testable rather than implicit.</w:t>
      </w:r>
    </w:p>
    <w:p>
      <w:pPr>
        <w:pStyle w:val="Compact"/>
        <w:numPr>
          <w:ilvl w:val="0"/>
          <w:numId w:val="1001"/>
        </w:numPr>
      </w:pPr>
      <w:r>
        <w:t xml:space="preserve">An external reference comparison of attenuation-derived estimated organ mass against</w:t>
      </w:r>
      <w:r>
        <w:t xml:space="preserve"> </w:t>
      </w:r>
      <w:r>
        <w:t xml:space="preserve">ICRP 89 reference values [13], and the practical limits an organ-level modulation</w:t>
      </w:r>
      <w:r>
        <w:t xml:space="preserve"> </w:t>
      </w:r>
      <w:r>
        <w:t xml:space="preserve">analysis must handle.</w:t>
      </w:r>
    </w:p>
    <w:bookmarkEnd w:id="10"/>
    <w:bookmarkStart w:id="22" w:name="materials-and-methods"/>
    <w:p>
      <w:pPr>
        <w:pStyle w:val="Heading2"/>
      </w:pPr>
      <w:r>
        <w:t xml:space="preserve">2. Materials and Methods</w:t>
      </w:r>
    </w:p>
    <w:bookmarkStart w:id="11" w:name="data-selection-without-bulk-download"/>
    <w:p>
      <w:pPr>
        <w:pStyle w:val="Heading3"/>
      </w:pPr>
      <w:r>
        <w:t xml:space="preserve">2.1. Data Selection Without Bulk Download</w:t>
      </w:r>
    </w:p>
    <w:p>
      <w:pPr>
        <w:pStyle w:val="FirstParagraph"/>
      </w:pPr>
      <w:r>
        <w:t xml:space="preserve">Handing a collection manifest to a bulk downloader fetches an entire collection, which for</w:t>
      </w:r>
      <w:r>
        <w:t xml:space="preserve"> </w:t>
      </w:r>
      <w:r>
        <w:t xml:space="preserve">the low-dose CT collection is of the order of 600 GB, most of it raw projection data</w:t>
      </w:r>
      <w:r>
        <w:t xml:space="preserve"> </w:t>
      </w:r>
      <w:r>
        <w:t xml:space="preserve">irrelevant to this work. We therefore used a metadata-first procedure over the public NBIA</w:t>
      </w:r>
      <w:r>
        <w:t xml:space="preserve"> </w:t>
      </w:r>
      <w:r>
        <w:t xml:space="preserve">REST API with four stages — index, screen, probe, download — in which only the last</w:t>
      </w:r>
      <w:r>
        <w:t xml:space="preserve"> </w:t>
      </w:r>
      <w:r>
        <w:t xml:space="preserve">transfers a series.</w:t>
      </w:r>
    </w:p>
    <w:p>
      <w:pPr>
        <w:pStyle w:val="BodyText"/>
      </w:pPr>
      <w:r>
        <w:t xml:space="preserve">All imaging was drawn from The Cancer Imaging Archive [19]. The candidate index was built</w:t>
      </w:r>
      <w:r>
        <w:t xml:space="preserve"> </w:t>
      </w:r>
      <w:r>
        <w:t xml:space="preserve">from 47,181 CT series across 21 abdominal collections, read as series-level JSON with no</w:t>
      </w:r>
      <w:r>
        <w:t xml:space="preserve"> </w:t>
      </w:r>
      <w:r>
        <w:t xml:space="preserve">pixel data. Candidates were seeded from the public-archive</w:t>
      </w:r>
      <w:r>
        <w:t xml:space="preserve"> </w:t>
      </w:r>
      <w:r>
        <w:t xml:space="preserve">survey distributed with the companion software release [15] — a software record, not a</w:t>
      </w:r>
      <w:r>
        <w:t xml:space="preserve"> </w:t>
      </w:r>
      <w:r>
        <w:t xml:space="preserve">peer-reviewed study — and supplemented by direct collection queries. A metadata screen then rejected, in order and with each rejection</w:t>
      </w:r>
      <w:r>
        <w:t xml:space="preserve"> </w:t>
      </w:r>
      <w:r>
        <w:t xml:space="preserve">counted: non-patient collections (imaging phantoms and de-identification benchmarks);</w:t>
      </w:r>
      <w:r>
        <w:t xml:space="preserve"> </w:t>
      </w:r>
      <w:r>
        <w:t xml:space="preserve">projection and raw-data series, of which 398 were refused at this stage; non-diagnostic</w:t>
      </w:r>
      <w:r>
        <w:t xml:space="preserve"> </w:t>
      </w:r>
      <w:r>
        <w:t xml:space="preserve">series (localisers, dose reports, screen captures); series shorter than 40 or longer than</w:t>
      </w:r>
      <w:r>
        <w:t xml:space="preserve"> </w:t>
      </w:r>
      <w:r>
        <w:t xml:space="preserve">1200 images; and series outside the abdomen. One series was retained per patient per</w:t>
      </w:r>
      <w:r>
        <w:t xml:space="preserve"> </w:t>
      </w:r>
      <w:r>
        <w:t xml:space="preserve">collection, and each manufacturer’s quota was drawn round-robin across its collections so</w:t>
      </w:r>
      <w:r>
        <w:t xml:space="preserve"> </w:t>
      </w:r>
      <w:r>
        <w:t xml:space="preserve">that manufacturer was not confounded with a single collection.</w:t>
      </w:r>
    </w:p>
    <w:bookmarkEnd w:id="11"/>
    <w:bookmarkStart w:id="12" w:name="inclusion-criteria-and-header-probing"/>
    <w:p>
      <w:pPr>
        <w:pStyle w:val="Heading3"/>
      </w:pPr>
      <w:r>
        <w:t xml:space="preserve">2.2. Inclusion Criteria and Header Probing</w:t>
      </w:r>
    </w:p>
    <w:p>
      <w:pPr>
        <w:pStyle w:val="FirstParagraph"/>
      </w:pPr>
      <w:r>
        <w:t xml:space="preserve">Sixty-two surviving candidates were probed by fetching six image headers each and judged</w:t>
      </w:r>
      <w:r>
        <w:t xml:space="preserve"> </w:t>
      </w:r>
      <w:r>
        <w:t xml:space="preserve">on four requirements: per-slice tube current present on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probed slice; that current</w:t>
      </w:r>
      <w:r>
        <w:t xml:space="preserve"> </w:t>
      </w:r>
      <w:r>
        <w:t xml:space="preserve">genuinely modulated (peak-to-peak over mean at least 0.02, so header rounding is not</w:t>
      </w:r>
      <w:r>
        <w:t xml:space="preserve"> </w:t>
      </w:r>
      <w:r>
        <w:t xml:space="preserve">mistaken for modulation); a defined Hounsfield rescale; and a reconstructed-image SOP</w:t>
      </w:r>
      <w:r>
        <w:t xml:space="preserve"> </w:t>
      </w:r>
      <w:r>
        <w:t xml:space="preserve">class with at least 40 slices spanning at least 120 mm. Forty series were kept, ten per</w:t>
      </w:r>
      <w:r>
        <w:t xml:space="preserve"> </w:t>
      </w:r>
      <w:r>
        <w:t xml:space="preserve">manufacturer.</w:t>
      </w:r>
    </w:p>
    <w:p>
      <w:pPr>
        <w:pStyle w:val="BodyText"/>
      </w:pPr>
      <w:r>
        <w:t xml:space="preserve">No imaging is redistributed. Each retained series is identified in the shipped provenance</w:t>
      </w:r>
      <w:r>
        <w:t xml:space="preserve"> </w:t>
      </w:r>
      <w:r>
        <w:t xml:space="preserve">record by collection, collection DOI, Series Instance UID, manufacturer, model, licence</w:t>
      </w:r>
      <w:r>
        <w:t xml:space="preserve"> </w:t>
      </w:r>
      <w:r>
        <w:t xml:space="preserve">and retrieval date. All forty series were retrieved under Creative Commons Attribution</w:t>
      </w:r>
      <w:r>
        <w:t xml:space="preserve"> </w:t>
      </w:r>
      <w:r>
        <w:t xml:space="preserve">licences — 33 under CC BY 4.0 and 7 under CC BY 3.0, as recorded per series in</w:t>
      </w:r>
      <w:r>
        <w:t xml:space="preserve"> </w:t>
      </w:r>
      <w:r>
        <w:rPr>
          <w:rStyle w:val="VerbatimChar"/>
        </w:rPr>
        <w:t xml:space="preserve">data/PROVENANCE.json</w:t>
      </w:r>
      <w:r>
        <w:t xml:space="preserve">; users must in every case observe the licence terms of the</w:t>
      </w:r>
      <w:r>
        <w:t xml:space="preserve"> </w:t>
      </w:r>
      <w:r>
        <w:t xml:space="preserve">originating collection and the TCIA Data Usage Policy.</w:t>
      </w:r>
    </w:p>
    <w:bookmarkEnd w:id="12"/>
    <w:bookmarkStart w:id="13" w:name="resolving-the-slice-grid"/>
    <w:p>
      <w:pPr>
        <w:pStyle w:val="Heading3"/>
      </w:pPr>
      <w:r>
        <w:t xml:space="preserve">2.3. Resolving the Slice Grid</w:t>
      </w:r>
    </w:p>
    <w:p>
      <w:pPr>
        <w:pStyle w:val="FirstParagraph"/>
      </w:pPr>
      <w:r>
        <w:t xml:space="preserve">Organ volume is a voxel count multiplied by a voxel volume, so slice spacing multiplies</w:t>
      </w:r>
      <w:r>
        <w:t xml:space="preserve"> </w:t>
      </w:r>
      <w:r>
        <w:t xml:space="preserve">every volume and every mass estimate. Two properties of archived series make the obvious</w:t>
      </w:r>
      <w:r>
        <w:t xml:space="preserve"> </w:t>
      </w:r>
      <w:r>
        <w:t xml:space="preserve">calculation wrong, and both are silent.</w:t>
      </w:r>
    </w:p>
    <w:p>
      <w:pPr>
        <w:pStyle w:val="BodyText"/>
      </w:pPr>
      <w:r>
        <w:t xml:space="preserve">First, the file count is not always the position count. One series in this cohort contains</w:t>
      </w:r>
      <w:r>
        <w:t xml:space="preserve"> </w:t>
      </w:r>
      <w:r>
        <w:t xml:space="preserve">160 images at 119 distinct longitudinal positions; taking the spacing as the extent</w:t>
      </w:r>
      <w:r>
        <w:t xml:space="preserve"> </w:t>
      </w:r>
      <w:r>
        <w:t xml:space="preserve">divided by the number of images gives 3.71 mm where the true spacing is 5.0 mm, and</w:t>
      </w:r>
      <w:r>
        <w:t xml:space="preserve"> </w:t>
      </w:r>
      <w:r>
        <w:t xml:space="preserve">stacking the duplicated images repeats anatomy so that organs occupy more slices than they</w:t>
      </w:r>
      <w:r>
        <w:t xml:space="preserve"> </w:t>
      </w:r>
      <w:r>
        <w:t xml:space="preserve">physically do. We therefore resolve the grid explicitly: one image per position, spacing</w:t>
      </w:r>
      <w:r>
        <w:t xml:space="preserve"> </w:t>
      </w:r>
      <w:r>
        <w:t xml:space="preserve">from the median step between neighbouring positions, and a uniformity check that refuses a</w:t>
      </w:r>
      <w:r>
        <w:t xml:space="preserve"> </w:t>
      </w:r>
      <w:r>
        <w:t xml:space="preserve">series whose steps vary by more than 2%. Two series proved to be a pair of reconstructions</w:t>
      </w:r>
      <w:r>
        <w:t xml:space="preserve"> </w:t>
      </w:r>
      <w:r>
        <w:t xml:space="preserve">interleaved under a single Series Instance UID; for these the largest regular sub-grid was</w:t>
      </w:r>
      <w:r>
        <w:t xml:space="preserve"> </w:t>
      </w:r>
      <w:r>
        <w:t xml:space="preserve">taken, accepted only when it preserves the full longitudinal extent.</w:t>
      </w:r>
    </w:p>
    <w:p>
      <w:pPr>
        <w:pStyle w:val="BodyText"/>
      </w:pPr>
      <w:r>
        <w:t xml:space="preserve">Second, the ordering of the slice axis is not guaranteed. Slice Location (0020,1041) runs</w:t>
      </w:r>
      <w:r>
        <w:t xml:space="preserve"> </w:t>
      </w:r>
      <w:r>
        <w:t xml:space="preserve">opposite in sign to Image Position (Patient) on three of the four manufacturers in this</w:t>
      </w:r>
      <w:r>
        <w:t xml:space="preserve"> </w:t>
      </w:r>
      <w:r>
        <w:t xml:space="preserve">sample, so a series sorted by the former arrives head-first. The segmentation is</w:t>
      </w:r>
      <w:r>
        <w:t xml:space="preserve"> </w:t>
      </w:r>
      <w:r>
        <w:t xml:space="preserve">unaffected, because the geometry handed to the segmenter is built from patient</w:t>
      </w:r>
      <w:r>
        <w:t xml:space="preserve"> </w:t>
      </w:r>
      <w:r>
        <w:t xml:space="preserve">coordinates; but the array index ceases to mean</w:t>
      </w:r>
      <w:r>
        <w:t xml:space="preserve"> </w:t>
      </w:r>
      <w:r>
        <w:t xml:space="preserve">“towards the head”</w:t>
      </w:r>
      <w:r>
        <w:t xml:space="preserve">, which reverses every</w:t>
      </w:r>
      <w:r>
        <w:t xml:space="preserve"> </w:t>
      </w:r>
      <w:r>
        <w:t xml:space="preserve">reported organ extent. Volumes are therefore canonicalised so that index zero is the most</w:t>
      </w:r>
      <w:r>
        <w:t xml:space="preserve"> </w:t>
      </w:r>
      <w:r>
        <w:t xml:space="preserve">inferior slice, with the tube current reordered alongside, since</w:t>
      </w:r>
      <w:r>
        <w:t xml:space="preserve"> </w:t>
      </w:r>
      <w:r>
        <w:rPr>
          <w:i/>
          <w:iCs/>
        </w:rPr>
        <w:t xml:space="preserve">I(z)</w:t>
      </w:r>
      <w:r>
        <w:t xml:space="preserve"> </w:t>
      </w:r>
      <w:r>
        <w:t xml:space="preserve">is paired to the</w:t>
      </w:r>
      <w:r>
        <w:t xml:space="preserve"> </w:t>
      </w:r>
      <w:r>
        <w:t xml:space="preserve">slice axis by index.</w:t>
      </w:r>
    </w:p>
    <w:bookmarkEnd w:id="13"/>
    <w:bookmarkStart w:id="14" w:name="reading-hounsfield-units"/>
    <w:p>
      <w:pPr>
        <w:pStyle w:val="Heading3"/>
      </w:pPr>
      <w:r>
        <w:t xml:space="preserve">2.4. Reading Hounsfield Units</w:t>
      </w:r>
    </w:p>
    <w:p>
      <w:pPr>
        <w:pStyle w:val="FirstParagraph"/>
      </w:pPr>
      <w:r>
        <w:t xml:space="preserve">Outside the reconstruction circle an image carries a padding value rather than a</w:t>
      </w:r>
      <w:r>
        <w:t xml:space="preserve"> </w:t>
      </w:r>
      <w:r>
        <w:t xml:space="preserve">measurement, and that value must be replaced with air before anything is measured. Pixel</w:t>
      </w:r>
      <w:r>
        <w:t xml:space="preserve"> </w:t>
      </w:r>
      <w:r>
        <w:t xml:space="preserve">Padding Value (0028,0120) has a value representation that depends on Pixel Representation,</w:t>
      </w:r>
      <w:r>
        <w:t xml:space="preserve"> </w:t>
      </w:r>
      <w:r>
        <w:t xml:space="preserve">and this is not reliably honoured: in this sample one export writes 63,536 with an</w:t>
      </w:r>
      <w:r>
        <w:t xml:space="preserve"> </w:t>
      </w:r>
      <w:r>
        <w:t xml:space="preserve">unsigned representation on signed pixel data, which is the two’s complement encoding of</w:t>
      </w:r>
      <w:r>
        <w:t xml:space="preserve"> </w:t>
      </w:r>
      <w:r>
        <w:t xml:space="preserve">the −2000 intended. Read literally, that places the padding threshold above every</w:t>
      </w:r>
      <w:r>
        <w:t xml:space="preserve"> </w:t>
      </w:r>
      <w:r>
        <w:t xml:space="preserve">Hounsfield value in the image, and the volume becomes uniform air. Four series were</w:t>
      </w:r>
      <w:r>
        <w:t xml:space="preserve"> </w:t>
      </w:r>
      <w:r>
        <w:t xml:space="preserve">affected, with no symptom other than a segmenter returning empty masks. We reinterpret the</w:t>
      </w:r>
      <w:r>
        <w:t xml:space="preserve"> </w:t>
      </w:r>
      <w:r>
        <w:t xml:space="preserve">padding value against Pixel Representation, and additionally refuse any padding rule that</w:t>
      </w:r>
      <w:r>
        <w:t xml:space="preserve"> </w:t>
      </w:r>
      <w:r>
        <w:t xml:space="preserve">would blank essentially the whole image.</w:t>
      </w:r>
    </w:p>
    <w:bookmarkEnd w:id="14"/>
    <w:bookmarkStart w:id="15" w:name="segmentation"/>
    <w:p>
      <w:pPr>
        <w:pStyle w:val="Heading3"/>
      </w:pPr>
      <w:r>
        <w:t xml:space="preserve">2.5. Segmentation</w:t>
      </w:r>
    </w:p>
    <w:p>
      <w:pPr>
        <w:pStyle w:val="FirstParagraph"/>
      </w:pPr>
      <w:r>
        <w:t xml:space="preserve">Twelve abdominal organs were segmented with TotalSegmentator v2.17 [8],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task, 1.5</w:t>
      </w:r>
      <w:r>
        <w:t xml:space="preserve"> </w:t>
      </w:r>
      <w:r>
        <w:t xml:space="preserve">mm full-resolution model, at inference only; no weights were trained, modified or</w:t>
      </w:r>
      <w:r>
        <w:t xml:space="preserve"> </w:t>
      </w:r>
      <w:r>
        <w:t xml:space="preserve">redistributed. Inference runs in a separate child process, because nnU-Net spawns its own</w:t>
      </w:r>
      <w:r>
        <w:t xml:space="preserve"> </w:t>
      </w:r>
      <w:r>
        <w:t xml:space="preserve">workers and doing so from a long-lived parent leaks processes on Windows.</w:t>
      </w:r>
    </w:p>
    <w:p>
      <w:pPr>
        <w:pStyle w:val="BodyText"/>
      </w:pPr>
      <w:r>
        <w:t xml:space="preserve">The series is written to NIfTI by our own code, with an affine constructed from the DICOM</w:t>
      </w:r>
      <w:r>
        <w:t xml:space="preserve"> </w:t>
      </w:r>
      <w:r>
        <w:t xml:space="preserve">patient coordinates, and the masks return on that same grid; the correspondence between</w:t>
      </w:r>
      <w:r>
        <w:t xml:space="preserve"> </w:t>
      </w:r>
      <w:r>
        <w:t xml:space="preserve">mask voxel and image voxel is therefore the identity by construction, and is asserted</w:t>
      </w:r>
      <w:r>
        <w:t xml:space="preserve"> </w:t>
      </w:r>
      <w:r>
        <w:t xml:space="preserve">rather than assumed. A mirrored segmentation would otherwise produce entirely plausible</w:t>
      </w:r>
      <w:r>
        <w:t xml:space="preserve"> </w:t>
      </w:r>
      <w:r>
        <w:t xml:space="preserve">volumes and Hounsfield values while pairing every organ with the wrong anatomy.</w:t>
      </w:r>
    </w:p>
    <w:p>
      <w:pPr>
        <w:pStyle w:val="BodyText"/>
      </w:pPr>
      <w:r>
        <w:t xml:space="preserve">The patient outline, used for the water-equivalent diameter, was taken from a</w:t>
      </w:r>
      <w:r>
        <w:t xml:space="preserve"> </w:t>
      </w:r>
      <w:r>
        <w:t xml:space="preserve">deterministic threshold contour following AAPM Report 220 [16]. Figure 1 illustrates the</w:t>
      </w:r>
      <w:r>
        <w:t xml:space="preserve"> </w:t>
      </w:r>
      <w:r>
        <w:t xml:space="preserve">segmentation output and its correspondence with the CT anatomy in the representative</w:t>
      </w:r>
      <w:r>
        <w:t xml:space="preserve"> </w:t>
      </w:r>
      <w:r>
        <w:t xml:space="preserve">acquisition used for the end-to-end example.</w:t>
      </w:r>
    </w:p>
    <w:bookmarkEnd w:id="15"/>
    <w:bookmarkStart w:id="16" w:name="attenuation-derived-estimated-organ-mass"/>
    <w:p>
      <w:pPr>
        <w:pStyle w:val="Heading3"/>
      </w:pPr>
      <w:r>
        <w:t xml:space="preserve">2.6. Attenuation-Derived Estimated Organ Mass</w:t>
      </w:r>
    </w:p>
    <w:p>
      <w:pPr>
        <w:pStyle w:val="FirstParagraph"/>
      </w:pPr>
      <w:r>
        <w:t xml:space="preserve">Hounsfield units were converted to mass density by piecewise-linear interpolation through</w:t>
      </w:r>
      <w:r>
        <w:t xml:space="preserve"> </w:t>
      </w:r>
      <w:r>
        <w:t xml:space="preserve">reference tissue anchor points, taking the densities from ICRU Report 44 [17] and the</w:t>
      </w:r>
      <w:r>
        <w:t xml:space="preserve"> </w:t>
      </w:r>
      <w:r>
        <w:t xml:space="preserve">construction from Schneider et al. [18]. Estimated organ mass is the sum of local density</w:t>
      </w:r>
      <w:r>
        <w:t xml:space="preserve"> </w:t>
      </w:r>
      <w:r>
        <w:t xml:space="preserve">over mask voxels multiplied by the voxel volume.</w:t>
      </w:r>
    </w:p>
    <w:p>
      <w:pPr>
        <w:pStyle w:val="BodyText"/>
      </w:pPr>
      <w:r>
        <w:t xml:space="preserve">These are</w:t>
      </w:r>
      <w:r>
        <w:t xml:space="preserve"> </w:t>
      </w:r>
      <w:r>
        <w:rPr>
          <w:b/>
          <w:bCs/>
        </w:rPr>
        <w:t xml:space="preserve">model-based estimates, not measurements</w:t>
      </w:r>
      <w:r>
        <w:t xml:space="preserve">. Contrast enhancement, tube voltage,</w:t>
      </w:r>
      <w:r>
        <w:t xml:space="preserve"> </w:t>
      </w:r>
      <w:r>
        <w:t xml:space="preserve">reconstruction kernel and scanner-specific HU calibration may all affect</w:t>
      </w:r>
      <w:r>
        <w:t xml:space="preserve"> </w:t>
      </w:r>
      <w:r>
        <w:t xml:space="preserve">attenuation-derived density estimates, and none was controlled in this archive cohort:</w:t>
      </w:r>
      <w:r>
        <w:t xml:space="preserve"> </w:t>
      </w:r>
      <w:r>
        <w:t xml:space="preserve">contrast phase in particular varies between and within collections. The reported masses</w:t>
      </w:r>
      <w:r>
        <w:t xml:space="preserve"> </w:t>
      </w:r>
      <w:r>
        <w:t xml:space="preserve">should therefore be interpreted as model-based estimates rather than physical ground</w:t>
      </w:r>
      <w:r>
        <w:t xml:space="preserve"> </w:t>
      </w:r>
      <w:r>
        <w:t xml:space="preserve">truth. The HU-to-density curve itself is replaceable and travels into the provenance of</w:t>
      </w:r>
      <w:r>
        <w:t xml:space="preserve"> </w:t>
      </w:r>
      <w:r>
        <w:t xml:space="preserve">every estimate; abdominal soft tissue is relatively insensitive to the choice, since</w:t>
      </w:r>
      <w:r>
        <w:t xml:space="preserve"> </w:t>
      </w:r>
      <w:r>
        <w:t xml:space="preserve">perturbing the water-to-muscle slope by 10% changes an abdominal organ-mass estimate by</w:t>
      </w:r>
      <w:r>
        <w:t xml:space="preserve"> </w:t>
      </w:r>
      <w:r>
        <w:t xml:space="preserve">less than 1%.</w:t>
      </w:r>
    </w:p>
    <w:bookmarkEnd w:id="16"/>
    <w:bookmarkStart w:id="17" w:name="the-anatomy-weighted-ctdivol-index"/>
    <w:p>
      <w:pPr>
        <w:pStyle w:val="Heading3"/>
      </w:pPr>
      <w:r>
        <w:t xml:space="preserve">2.7. The Anatomy-Weighted CTDIvol Index</w:t>
      </w:r>
    </w:p>
    <w:p>
      <w:pPr>
        <w:pStyle w:val="FirstParagraph"/>
      </w:pPr>
      <w:r>
        <w:t xml:space="preserve">For an organ</w:t>
      </w:r>
      <w:r>
        <w:t xml:space="preserve"> </w:t>
      </w:r>
      <w:r>
        <w:rPr>
          <w:i/>
          <w:iCs/>
        </w:rPr>
        <w:t xml:space="preserve">o</w:t>
      </w:r>
      <w:r>
        <w:t xml:space="preserve"> </w:t>
      </w:r>
      <w:r>
        <w:t xml:space="preserve">occupying slices with per-slice voxel counts</w:t>
      </w:r>
      <w:r>
        <w:t xml:space="preserve"> </w:t>
      </w:r>
      <w:r>
        <w:rPr>
          <w:i/>
          <w:iCs/>
        </w:rPr>
        <w:t xml:space="preserve">n_o(z)</w:t>
      </w:r>
      <w:r>
        <w:t xml:space="preserve">, and a series with</w:t>
      </w:r>
      <w:r>
        <w:t xml:space="preserve"> </w:t>
      </w:r>
      <w:r>
        <w:t xml:space="preserve">per-slice tube current</w:t>
      </w:r>
      <w:r>
        <w:t xml:space="preserve"> </w:t>
      </w:r>
      <w:r>
        <w:rPr>
          <w:i/>
          <w:iCs/>
        </w:rPr>
        <w:t xml:space="preserve">I(z)</w:t>
      </w:r>
      <w:r>
        <w:t xml:space="preserve">, the organ-specific modulation weight is</w:t>
      </w:r>
    </w:p>
    <w:p>
      <w:pPr>
        <w:pStyle w:val="BodyText"/>
      </w:pPr>
      <w:r>
        <w:rPr>
          <w:i/>
          <w:iCs/>
        </w:rPr>
        <w:t xml:space="preserve">w_o</w:t>
      </w:r>
      <w:r>
        <w:t xml:space="preserve"> </w:t>
      </w:r>
      <w:r>
        <w:t xml:space="preserve">= [ Σ_z</w:t>
      </w:r>
      <w:r>
        <w:t xml:space="preserve"> </w:t>
      </w:r>
      <w:r>
        <w:rPr>
          <w:i/>
          <w:iCs/>
        </w:rPr>
        <w:t xml:space="preserve">n_o(z) I(z)</w:t>
      </w:r>
      <w:r>
        <w:t xml:space="preserve"> </w:t>
      </w:r>
      <w:r>
        <w:t xml:space="preserve">/ Σ_z</w:t>
      </w:r>
      <w:r>
        <w:t xml:space="preserve"> </w:t>
      </w:r>
      <w:r>
        <w:rPr>
          <w:i/>
          <w:iCs/>
        </w:rPr>
        <w:t xml:space="preserve">n_o(z)</w:t>
      </w:r>
      <w:r>
        <w:t xml:space="preserve"> </w:t>
      </w:r>
      <w:r>
        <w:t xml:space="preserve">] / mean_z</w:t>
      </w:r>
      <w:r>
        <w:t xml:space="preserve"> </w:t>
      </w:r>
      <w:r>
        <w:rPr>
          <w:i/>
          <w:iCs/>
        </w:rPr>
        <w:t xml:space="preserve">I(z)</w:t>
      </w:r>
      <w:r>
        <w:t xml:space="preserve"> </w:t>
      </w:r>
      <w:r>
        <w:t xml:space="preserve">(1)</w:t>
      </w:r>
    </w:p>
    <w:p>
      <w:pPr>
        <w:pStyle w:val="BodyText"/>
      </w:pPr>
      <w:r>
        <w:t xml:space="preserve">and the anatomy-weighted CTDIvol index is CTDIvol ·</w:t>
      </w:r>
      <w:r>
        <w:t xml:space="preserve"> </w:t>
      </w:r>
      <w:r>
        <w:rPr>
          <w:i/>
          <w:iCs/>
        </w:rPr>
        <w:t xml:space="preserve">w_o</w:t>
      </w:r>
      <w:r>
        <w:t xml:space="preserve">. The weight is dimensionless and</w:t>
      </w:r>
      <w:r>
        <w:t xml:space="preserve"> </w:t>
      </w:r>
      <w:r>
        <w:t xml:space="preserve">is the transferable quantity: it expresses the recorded longitudinal tube-current</w:t>
      </w:r>
      <w:r>
        <w:t xml:space="preserve"> </w:t>
      </w:r>
      <w:r>
        <w:t xml:space="preserve">conditions over the organ relative to the scan mean, independently of the scanner’s own</w:t>
      </w:r>
      <w:r>
        <w:t xml:space="preserve"> </w:t>
      </w:r>
      <w:r>
        <w:t xml:space="preserve">output.</w:t>
      </w:r>
    </w:p>
    <w:p>
      <w:pPr>
        <w:pStyle w:val="BodyText"/>
      </w:pPr>
      <w:r>
        <w:t xml:space="preserve">The weighting assumes that, within each series, tube voltage, rotation or exposure time,</w:t>
      </w:r>
      <w:r>
        <w:t xml:space="preserve"> </w:t>
      </w:r>
      <w:r>
        <w:t xml:space="preserve">pitch and beam collimation remain fixed, so that longitudinal changes in scanner output</w:t>
      </w:r>
      <w:r>
        <w:t xml:space="preserve"> </w:t>
      </w:r>
      <w:r>
        <w:t xml:space="preserve">are proportional to the recorded tube current.</w:t>
      </w:r>
    </w:p>
    <w:bookmarkEnd w:id="17"/>
    <w:bookmarkStart w:id="18" w:name="the-acquisition-constancy-criterion"/>
    <w:p>
      <w:pPr>
        <w:pStyle w:val="Heading3"/>
      </w:pPr>
      <w:r>
        <w:t xml:space="preserve">2.8. The Acquisition-Constancy Criterion</w:t>
      </w:r>
    </w:p>
    <w:p>
      <w:pPr>
        <w:pStyle w:val="FirstParagraph"/>
      </w:pPr>
      <w:r>
        <w:t xml:space="preserve">Rather than assume that assumption, we stated it as an eligibility rule in advance and</w:t>
      </w:r>
      <w:r>
        <w:t xml:space="preserve"> </w:t>
      </w:r>
      <w:r>
        <w:t xml:space="preserve">applied it mechanically:</w:t>
      </w:r>
    </w:p>
    <w:p>
      <w:pPr>
        <w:pStyle w:val="BlockText"/>
      </w:pPr>
      <w:r>
        <w:t xml:space="preserve">A series is eligible for quantitative anatomy-weighted CTDIvol analysis only when the</w:t>
      </w:r>
      <w:r>
        <w:t xml:space="preserve"> </w:t>
      </w:r>
      <w:r>
        <w:t xml:space="preserve">acquisition parameters required for scanner output to remain proportional to the</w:t>
      </w:r>
      <w:r>
        <w:t xml:space="preserve"> </w:t>
      </w:r>
      <w:r>
        <w:t xml:space="preserve">recorded tube current are constant within that series, to the extent verifiable from the</w:t>
      </w:r>
      <w:r>
        <w:t xml:space="preserve"> </w:t>
      </w:r>
      <w:r>
        <w:t xml:space="preserve">archived DICOM headers.</w:t>
      </w:r>
    </w:p>
    <w:p>
      <w:pPr>
        <w:pStyle w:val="FirstParagraph"/>
      </w:pPr>
      <w:r>
        <w:t xml:space="preserve">Every slice header of every series was read and each output-governing attribute — tube</w:t>
      </w:r>
      <w:r>
        <w:t xml:space="preserve"> </w:t>
      </w:r>
      <w:r>
        <w:t xml:space="preserve">voltage, exposure time, rotation time, pitch and total collimation width — classified into</w:t>
      </w:r>
      <w:r>
        <w:t xml:space="preserve"> </w:t>
      </w:r>
      <w:r>
        <w:t xml:space="preserve">one of four states.</w:t>
      </w:r>
      <w:r>
        <w:t xml:space="preserve"> </w:t>
      </w:r>
      <w:r>
        <w:rPr>
          <w:i/>
          <w:iCs/>
        </w:rPr>
        <w:t xml:space="preserve">Verified constant</w:t>
      </w:r>
      <w:r>
        <w:t xml:space="preserve">: one value throughout.</w:t>
      </w:r>
      <w:r>
        <w:t xml:space="preserve"> </w:t>
      </w:r>
      <w:r>
        <w:rPr>
          <w:i/>
          <w:iCs/>
        </w:rPr>
        <w:t xml:space="preserve">Absent</w:t>
      </w:r>
      <w:r>
        <w:t xml:space="preserve">: never written to</w:t>
      </w:r>
      <w:r>
        <w:t xml:space="preserve"> </w:t>
      </w:r>
      <w:r>
        <w:t xml:space="preserve">the archived headers, so constancy can be neither confirmed nor refuted; absence alone</w:t>
      </w:r>
      <w:r>
        <w:t xml:space="preserve"> </w:t>
      </w:r>
      <w:r>
        <w:t xml:space="preserve">does not disqualify a series, since excluding on it would remove series for a property of</w:t>
      </w:r>
      <w:r>
        <w:t xml:space="preserve"> </w:t>
      </w:r>
      <w:r>
        <w:t xml:space="preserve">the de-identified export rather than of the acquisition.</w:t>
      </w:r>
      <w:r>
        <w:t xml:space="preserve"> </w:t>
      </w:r>
      <w:r>
        <w:rPr>
          <w:i/>
          <w:iCs/>
        </w:rPr>
        <w:t xml:space="preserve">Negligible variation</w:t>
      </w:r>
      <w:r>
        <w:t xml:space="preserve">: varying</w:t>
      </w:r>
      <w:r>
        <w:t xml:space="preserve"> </w:t>
      </w:r>
      <w:r>
        <w:t xml:space="preserve">by less than a relative tolerance of 0.02, attributable to the numeric representation —</w:t>
      </w:r>
      <w:r>
        <w:t xml:space="preserve"> </w:t>
      </w:r>
      <w:r>
        <w:t xml:space="preserve">exposure time is written as an integer number of milliseconds, so a one-unit step on a</w:t>
      </w:r>
      <w:r>
        <w:t xml:space="preserve"> </w:t>
      </w:r>
      <w:r>
        <w:t xml:space="preserve">value of a few hundred is a rounding artefact.</w:t>
      </w:r>
      <w:r>
        <w:t xml:space="preserve"> </w:t>
      </w:r>
      <w:r>
        <w:rPr>
          <w:i/>
          <w:iCs/>
        </w:rPr>
        <w:t xml:space="preserve">Materially variable</w:t>
      </w:r>
      <w:r>
        <w:t xml:space="preserve">: varying by at least</w:t>
      </w:r>
      <w:r>
        <w:t xml:space="preserve"> </w:t>
      </w:r>
      <w:r>
        <w:t xml:space="preserve">that tolerance, which disqualifies the series. The tolerance is not fitted to these data:</w:t>
      </w:r>
      <w:r>
        <w:t xml:space="preserve"> </w:t>
      </w:r>
      <w:r>
        <w:t xml:space="preserve">any value between roughly 1% and 50% classifies this cohort identically, because the only</w:t>
      </w:r>
      <w:r>
        <w:t xml:space="preserve"> </w:t>
      </w:r>
      <w:r>
        <w:t xml:space="preserve">material variation observed is a factor of two.</w:t>
      </w:r>
    </w:p>
    <w:p>
      <w:pPr>
        <w:pStyle w:val="BodyText"/>
      </w:pPr>
      <w:r>
        <w:t xml:space="preserve">Tube voltage was verified constant in all 40 series, as were Image Type and convolution</w:t>
      </w:r>
      <w:r>
        <w:t xml:space="preserve"> </w:t>
      </w:r>
      <w:r>
        <w:t xml:space="preserve">kernel, so no series mixes acquisition or reconstruction types. Exposure time was verified</w:t>
      </w:r>
      <w:r>
        <w:t xml:space="preserve"> </w:t>
      </w:r>
      <w:r>
        <w:t xml:space="preserve">constant in 35 series, negligibly variable in 3, materially variable in 1 and absent in 1;</w:t>
      </w:r>
      <w:r>
        <w:t xml:space="preserve"> </w:t>
      </w:r>
      <w:r>
        <w:t xml:space="preserve">rotation time verified constant in 20, materially variable in 1 and absent in 19; pitch</w:t>
      </w:r>
      <w:r>
        <w:t xml:space="preserve"> </w:t>
      </w:r>
      <w:r>
        <w:t xml:space="preserve">verified constant in 32 and absent in 8; total collimation width verified constant in 31</w:t>
      </w:r>
      <w:r>
        <w:t xml:space="preserve"> </w:t>
      </w:r>
      <w:r>
        <w:t xml:space="preserve">and absent in 9. The full record is shipped as</w:t>
      </w:r>
      <w:r>
        <w:t xml:space="preserve"> </w:t>
      </w:r>
      <w:r>
        <w:rPr>
          <w:rStyle w:val="VerbatimChar"/>
        </w:rPr>
        <w:t xml:space="preserve">results/acquisition_constancy.json</w:t>
      </w:r>
      <w:r>
        <w:t xml:space="preserve"> </w:t>
      </w:r>
      <w:r>
        <w:t xml:space="preserve">and</w:t>
      </w:r>
      <w:r>
        <w:t xml:space="preserve"> </w:t>
      </w:r>
      <w:r>
        <w:t xml:space="preserve">the eligibility decision for every series in</w:t>
      </w:r>
      <w:r>
        <w:t xml:space="preserve"> </w:t>
      </w:r>
      <w:r>
        <w:rPr>
          <w:rStyle w:val="VerbatimChar"/>
        </w:rPr>
        <w:t xml:space="preserve">results/analysis_1.5mm.json</w:t>
      </w:r>
      <w:r>
        <w:t xml:space="preserve">.</w:t>
      </w:r>
    </w:p>
    <w:p>
      <w:pPr>
        <w:pStyle w:val="BodyText"/>
      </w:pPr>
      <w:r>
        <w:t xml:space="preserve">Series failing the criterion are retained for the archive-availability, segmentation,</w:t>
      </w:r>
      <w:r>
        <w:t xml:space="preserve"> </w:t>
      </w:r>
      <w:r>
        <w:t xml:space="preserve">estimated-mass and provenance analyses, and excluded only from quantitative</w:t>
      </w:r>
      <w:r>
        <w:t xml:space="preserve"> </w:t>
      </w:r>
      <w:r>
        <w:t xml:space="preserve">modulation-weight and anatomy-weighted-index summaries.</w:t>
      </w:r>
    </w:p>
    <w:p>
      <w:pPr>
        <w:pStyle w:val="BodyText"/>
      </w:pPr>
      <w:r>
        <w:t xml:space="preserve">CTDIvol was taken from the image header (0018,9345) where present. Where absent, it was</w:t>
      </w:r>
      <w:r>
        <w:t xml:space="preserve"> </w:t>
      </w:r>
      <w:r>
        <w:t xml:space="preserve">reconstructed from acquisition physics against an openly licensed normalised-CTDI database</w:t>
      </w:r>
      <w:r>
        <w:t xml:space="preserve"> </w:t>
      </w:r>
      <w:r>
        <w:t xml:space="preserve">[14]; recorded and reconstructed values are never merged, and each series records which it</w:t>
      </w:r>
      <w:r>
        <w:t xml:space="preserve"> </w:t>
      </w:r>
      <w:r>
        <w:t xml:space="preserve">carries. A recorded value outside the physically possible range is treated as a corrupt</w:t>
      </w:r>
      <w:r>
        <w:t xml:space="preserve"> </w:t>
      </w:r>
      <w:r>
        <w:t xml:space="preserve">attribute and falls through to reconstruction — one series records CTDIvol as</w:t>
      </w:r>
      <w:r>
        <w:t xml:space="preserve"> </w:t>
      </w:r>
      <w:r>
        <w:t xml:space="preserve">−3.7 × 10^19 mGy.</w:t>
      </w:r>
    </w:p>
    <w:p>
      <w:pPr>
        <w:pStyle w:val="BodyText"/>
      </w:pPr>
      <w:r>
        <w:t xml:space="preserve">An organ whose mask reaches the first or last slice of the series continues beyond the</w:t>
      </w:r>
      <w:r>
        <w:t xml:space="preserve"> </w:t>
      </w:r>
      <w:r>
        <w:t xml:space="preserve">scan; its estimated mass is that of the scanned part and its weight describes only the</w:t>
      </w:r>
      <w:r>
        <w:t xml:space="preserve"> </w:t>
      </w:r>
      <w:r>
        <w:t xml:space="preserve">exposed part. Such organs are flagged and excluded from whole-organ comparisons.</w:t>
      </w:r>
    </w:p>
    <w:bookmarkEnd w:id="18"/>
    <w:bookmarkStart w:id="19" w:name="organ-record-flow"/>
    <w:p>
      <w:pPr>
        <w:pStyle w:val="Heading3"/>
      </w:pPr>
      <w:r>
        <w:t xml:space="preserve">2.9. Organ Record Flow</w:t>
      </w:r>
    </w:p>
    <w:p>
      <w:pPr>
        <w:pStyle w:val="FirstParagraph"/>
      </w:pPr>
      <w:r>
        <w:t xml:space="preserve">Forty series and twelve requested organs give 480 organ–series combinations. Records were</w:t>
      </w:r>
      <w:r>
        <w:t xml:space="preserve"> </w:t>
      </w:r>
      <w:r>
        <w:t xml:space="preserve">produced for 455. The remaining 25 are organs that lay outside the scanned longitudinal</w:t>
      </w:r>
      <w:r>
        <w:t xml:space="preserve"> </w:t>
      </w:r>
      <w:r>
        <w:t xml:space="preserve">range, so their masks were empty and no record exists: urinary bladder in 10 series,</w:t>
      </w:r>
      <w:r>
        <w:t xml:space="preserve"> </w:t>
      </w:r>
      <w:r>
        <w:t xml:space="preserve">gallbladder in 8, and seven further organs in a single 41-slice pelvic acquisition that</w:t>
      </w:r>
      <w:r>
        <w:t xml:space="preserve"> </w:t>
      </w:r>
      <w:r>
        <w:t xml:space="preserve">does not reach the upper abdomen.</w:t>
      </w:r>
    </w:p>
    <w:p>
      <w:pPr>
        <w:pStyle w:val="BodyText"/>
      </w:pPr>
      <w:r>
        <w:t xml:space="preserve">Two further conditions apply to the 455 records, and they are</w:t>
      </w:r>
      <w:r>
        <w:t xml:space="preserve"> </w:t>
      </w:r>
      <w:r>
        <w:rPr>
          <w:b/>
          <w:bCs/>
        </w:rPr>
        <w:t xml:space="preserve">independent axes rather</w:t>
      </w:r>
      <w:r>
        <w:rPr>
          <w:b/>
          <w:bCs/>
        </w:rPr>
        <w:t xml:space="preserve"> </w:t>
      </w:r>
      <w:r>
        <w:rPr>
          <w:b/>
          <w:bCs/>
        </w:rPr>
        <w:t xml:space="preserve">than nested subsets</w:t>
      </w:r>
      <w:r>
        <w:t xml:space="preserve">. Truncation is a property of the organ: 408 records are untruncated</w:t>
      </w:r>
      <w:r>
        <w:t xml:space="preserve"> </w:t>
      </w:r>
      <w:r>
        <w:t xml:space="preserve">and 47 reach a scan boundary. Index availability is a property of the series: 386 records</w:t>
      </w:r>
      <w:r>
        <w:t xml:space="preserve"> </w:t>
      </w:r>
      <w:r>
        <w:t xml:space="preserve">carry an anatomy-weighted index, while the remaining 69 records, from 6 series, carry a</w:t>
      </w:r>
      <w:r>
        <w:t xml:space="preserve"> </w:t>
      </w:r>
      <w:r>
        <w:t xml:space="preserve">modulation weight but no index, because those series have no CTDIvol by either route. The</w:t>
      </w:r>
      <w:r>
        <w:t xml:space="preserve"> </w:t>
      </w:r>
      <w:r>
        <w:t xml:space="preserve">two conditions hold together for 345 records; 41 truncated records still carry an index,</w:t>
      </w:r>
      <w:r>
        <w:t xml:space="preserve"> </w:t>
      </w:r>
      <w:r>
        <w:t xml:space="preserve">and 63 untruncated records do not. The external reference-mass comparison uses the 177</w:t>
      </w:r>
      <w:r>
        <w:t xml:space="preserve"> </w:t>
      </w:r>
      <w:r>
        <w:t xml:space="preserve">untruncated records of the five solid organs. The full flow is in the shipped</w:t>
      </w:r>
      <w:r>
        <w:t xml:space="preserve"> </w:t>
      </w:r>
      <w:r>
        <w:rPr>
          <w:rStyle w:val="VerbatimChar"/>
        </w:rPr>
        <w:t xml:space="preserve">results/analysis_1.5mm.json</w:t>
      </w:r>
      <w:r>
        <w:t xml:space="preserve">.</w:t>
      </w:r>
    </w:p>
    <w:bookmarkEnd w:id="19"/>
    <w:bookmarkStart w:id="20" w:name="Xac99610bd1667e2236e31b4cc065aa132b167b5"/>
    <w:p>
      <w:pPr>
        <w:pStyle w:val="Heading3"/>
      </w:pPr>
      <w:r>
        <w:t xml:space="preserve">2.10. What the Index Does and Does Not Represent</w:t>
      </w:r>
    </w:p>
    <w:p>
      <w:pPr>
        <w:pStyle w:val="FirstParagraph"/>
      </w:pPr>
      <w:r>
        <w:t xml:space="preserve">The anatomy-weighted CTDIvol index describes organ-specific</w:t>
      </w:r>
      <w:r>
        <w:t xml:space="preserve"> </w:t>
      </w:r>
      <w:r>
        <w:rPr>
          <w:i/>
          <w:iCs/>
        </w:rPr>
        <w:t xml:space="preserve">longitudinal</w:t>
      </w:r>
      <w:r>
        <w:t xml:space="preserve"> </w:t>
      </w:r>
      <w:r>
        <w:t xml:space="preserve">tube-current</w:t>
      </w:r>
      <w:r>
        <w:t xml:space="preserve"> </w:t>
      </w:r>
      <w:r>
        <w:t xml:space="preserve">modulation relative to the whole-scan CTDIvol. It does not account for scattered</w:t>
      </w:r>
      <w:r>
        <w:t xml:space="preserve"> </w:t>
      </w:r>
      <w:r>
        <w:t xml:space="preserve">radiation; irradiation originating outside the organ’s segmented longitudinal extent;</w:t>
      </w:r>
      <w:r>
        <w:t xml:space="preserve"> </w:t>
      </w:r>
      <w:r>
        <w:t xml:space="preserve">angular (in-plane) tube-current modulation; organ depth, position or attenuation;</w:t>
      </w:r>
      <w:r>
        <w:t xml:space="preserve"> </w:t>
      </w:r>
      <w:r>
        <w:t xml:space="preserve">patient-specific Monte-Carlo radiation transport; or absorbed organ dose in milligray. It</w:t>
      </w:r>
      <w:r>
        <w:t xml:space="preserve"> </w:t>
      </w:r>
      <w:r>
        <w:t xml:space="preserve">is therefore not a surrogate for absorbed organ dose and must not be read as one. What it</w:t>
      </w:r>
      <w:r>
        <w:t xml:space="preserve"> </w:t>
      </w:r>
      <w:r>
        <w:t xml:space="preserve">does provide is a dimensionless, patient-specific, organ-specific measure of longitudinal</w:t>
      </w:r>
      <w:r>
        <w:t xml:space="preserve"> </w:t>
      </w:r>
      <w:r>
        <w:t xml:space="preserve">modulation, and a derived index in the units of the parent CTDIvol.</w:t>
      </w:r>
    </w:p>
    <w:bookmarkEnd w:id="20"/>
    <w:bookmarkStart w:id="21" w:name="verification-and-reproducibility"/>
    <w:p>
      <w:pPr>
        <w:pStyle w:val="Heading3"/>
      </w:pPr>
      <w:r>
        <w:t xml:space="preserve">2.11. Verification and Reproducibility</w:t>
      </w:r>
    </w:p>
    <w:p>
      <w:pPr>
        <w:pStyle w:val="FirstParagraph"/>
      </w:pPr>
      <w:r>
        <w:t xml:space="preserve">Every series is screened against facts of gross anatomy that hold for any adult: the left</w:t>
      </w:r>
      <w:r>
        <w:t xml:space="preserve"> </w:t>
      </w:r>
      <w:r>
        <w:t xml:space="preserve">kidney lies to the patient’s left of the right kidney and the spleen to the left of the</w:t>
      </w:r>
      <w:r>
        <w:t xml:space="preserve"> </w:t>
      </w:r>
      <w:r>
        <w:t xml:space="preserve">liver; the liver lies superior to the bladder and the adrenal glands superior to the</w:t>
      </w:r>
      <w:r>
        <w:t xml:space="preserve"> </w:t>
      </w:r>
      <w:r>
        <w:t xml:space="preserve">kidneys; solid-organ mass estimates fall within a wide band of reference values; and the</w:t>
      </w:r>
      <w:r>
        <w:t xml:space="preserve"> </w:t>
      </w:r>
      <w:r>
        <w:t xml:space="preserve">organ weights vary within a series. These screens exist because the failures they catch</w:t>
      </w:r>
      <w:r>
        <w:t xml:space="preserve"> </w:t>
      </w:r>
      <w:r>
        <w:t xml:space="preserve">leave no other trace.</w:t>
      </w:r>
    </w:p>
    <w:p>
      <w:pPr>
        <w:pStyle w:val="BodyText"/>
      </w:pPr>
      <w:r>
        <w:t xml:space="preserve">Analyses were run with Python 3.14 (the package supports 3.10 and later), TotalSegmentator</w:t>
      </w:r>
      <w:r>
        <w:t xml:space="preserve"> </w:t>
      </w:r>
      <w:r>
        <w:t xml:space="preserve">v2.17 (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task, 1.5 mm full-resolution model) on PyTorch 2.11 with CUDA 12.8, pydicom</w:t>
      </w:r>
      <w:r>
        <w:t xml:space="preserve"> </w:t>
      </w:r>
      <w:r>
        <w:t xml:space="preserve">3.0 and NumPy 2.5, using an NVIDIA RTX 3080. Every reported value is re-derived from the</w:t>
      </w:r>
      <w:r>
        <w:t xml:space="preserve"> </w:t>
      </w:r>
      <w:r>
        <w:t xml:space="preserve">per-series records by the test suite, including regenerating the complete analysis table</w:t>
      </w:r>
      <w:r>
        <w:t xml:space="preserve"> </w:t>
      </w:r>
      <w:r>
        <w:t xml:space="preserve">and comparing it. The acquisition, organ, analysis and figure layers are regenerated by</w:t>
      </w:r>
      <w:r>
        <w:t xml:space="preserve"> </w:t>
      </w:r>
      <w:r>
        <w:rPr>
          <w:rStyle w:val="VerbatimChar"/>
        </w:rPr>
        <w:t xml:space="preserve">tools/select_and_download.py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tools/run_organ_dose.py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tools/make_analysis.py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tools/make_figures.py</w:t>
      </w:r>
      <w:r>
        <w:t xml:space="preserve"> </w:t>
      </w:r>
      <w:r>
        <w:t xml:space="preserve">respectively; the acquisition-parameter check by</w:t>
      </w:r>
      <w:r>
        <w:t xml:space="preserve"> </w:t>
      </w:r>
      <w:r>
        <w:rPr>
          <w:rStyle w:val="VerbatimChar"/>
        </w:rPr>
        <w:t xml:space="preserve">tools/verify_acquisition_constancy.py</w:t>
      </w:r>
      <w:r>
        <w:t xml:space="preserve">. The repository, its release tag, commit hash and</w:t>
      </w:r>
      <w:r>
        <w:t xml:space="preserve"> </w:t>
      </w:r>
      <w:r>
        <w:t xml:space="preserve">archived version DOI are given in the Data Availability Statement.</w:t>
      </w:r>
    </w:p>
    <w:bookmarkEnd w:id="21"/>
    <w:bookmarkEnd w:id="22"/>
    <w:bookmarkStart w:id="43" w:name="results"/>
    <w:p>
      <w:pPr>
        <w:pStyle w:val="Heading2"/>
      </w:pPr>
      <w:r>
        <w:t xml:space="preserve">3. Results</w:t>
      </w:r>
    </w:p>
    <w:bookmarkStart w:id="26" w:name="cohort-and-records"/>
    <w:p>
      <w:pPr>
        <w:pStyle w:val="Heading3"/>
      </w:pPr>
      <w:r>
        <w:t xml:space="preserve">3.1. Cohort and Records</w:t>
      </w:r>
    </w:p>
    <w:p>
      <w:pPr>
        <w:pStyle w:val="FirstParagraph"/>
      </w:pPr>
      <w:r>
        <w:t xml:space="preserve">Forty series were analysed — ten from each of GE, Siemens, Canon/Toshiba and Philips —</w:t>
      </w:r>
      <w:r>
        <w:t xml:space="preserve"> </w:t>
      </w:r>
      <w:r>
        <w:t xml:space="preserve">drawn from 21 collections and 23 scanner models. Of 480 organ–series combinations, 455</w:t>
      </w:r>
      <w:r>
        <w:t xml:space="preserve"> </w:t>
      </w:r>
      <w:r>
        <w:t xml:space="preserve">organ records were produced across 12 organs, with the flow as given in Section 2.9.</w:t>
      </w:r>
      <w:r>
        <w:t xml:space="preserve"> </w:t>
      </w:r>
      <w:r>
        <w:t xml:space="preserve">Figure 1 shows the segmentation output for a representative acquisition.</w:t>
      </w:r>
    </w:p>
    <w:p>
      <w:pPr>
        <w:pStyle w:val="BodyText"/>
      </w:pPr>
      <w:r>
        <w:t xml:space="preserve">Of the 40 segmented series, 39 met the acquisition-constancy criterion of Section 2.8. One</w:t>
      </w:r>
      <w:r>
        <w:t xml:space="preserve"> </w:t>
      </w:r>
      <w:r>
        <w:t xml:space="preserve">archived GE series contained two blocks with different exposure and rotation times; it was</w:t>
      </w:r>
      <w:r>
        <w:t xml:space="preserve"> </w:t>
      </w:r>
      <w:r>
        <w:t xml:space="preserve">retained for the segmentation, estimated-mass and archive-availability analyses and</w:t>
      </w:r>
      <w:r>
        <w:t xml:space="preserve"> </w:t>
      </w:r>
      <w:r>
        <w:t xml:space="preserve">excluded from the modulation-weight and anatomy-weighted-index summaries. The quantitative</w:t>
      </w:r>
      <w:r>
        <w:t xml:space="preserve"> </w:t>
      </w:r>
      <w:r>
        <w:t xml:space="preserve">modulation analysis therefore rests on 375 organ records from the 33 eligible series that</w:t>
      </w:r>
      <w:r>
        <w:t xml:space="preserve"> </w:t>
      </w:r>
      <w:r>
        <w:t xml:space="preserve">also carry a CTDIvol.</w:t>
      </w:r>
    </w:p>
    <w:p>
      <w:pPr>
        <w:pStyle w:val="BodyText"/>
      </w:pPr>
      <w:r>
        <w:drawing>
          <wp:inline>
            <wp:extent cx="4957010" cy="5784324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ures/fig1_segmentat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010" cy="5784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Representative TotalSegmentator output from one abdominal CT series used in</w:t>
      </w:r>
      <w:r>
        <w:t xml:space="preserve"> </w:t>
      </w:r>
      <w:r>
        <w:t xml:space="preserve">the analysis. (</w:t>
      </w:r>
      <w:r>
        <w:rPr>
          <w:b/>
          <w:bCs/>
        </w:rPr>
        <w:t xml:space="preserve">a</w:t>
      </w:r>
      <w:r>
        <w:t xml:space="preserve">) Coronal reformat with multi-organ overlays. (</w:t>
      </w:r>
      <w:r>
        <w:rPr>
          <w:b/>
          <w:bCs/>
        </w:rPr>
        <w:t xml:space="preserve">b</w:t>
      </w:r>
      <w:r>
        <w:t xml:space="preserve">–</w:t>
      </w:r>
      <w:r>
        <w:rPr>
          <w:b/>
          <w:bCs/>
        </w:rPr>
        <w:t xml:space="preserve">d</w:t>
      </w:r>
      <w:r>
        <w:t xml:space="preserve">) Axial</w:t>
      </w:r>
      <w:r>
        <w:t xml:space="preserve"> </w:t>
      </w:r>
      <w:r>
        <w:t xml:space="preserve">levels through the upper abdomen, the renal level and the lower abdomen. Masks were</w:t>
      </w:r>
      <w:r>
        <w:t xml:space="preserve"> </w:t>
      </w:r>
      <w:r>
        <w:t xml:space="preserve">generated with TotalSegmentator v2.17 using the 1.5 mm full-resolution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task and</w:t>
      </w:r>
      <w:r>
        <w:t xml:space="preserve"> </w:t>
      </w:r>
      <w:r>
        <w:t xml:space="preserve">returned to the native DICOM-derived image grid; overlays are translucent so the anatomy</w:t>
      </w:r>
      <w:r>
        <w:t xml:space="preserve"> </w:t>
      </w:r>
      <w:r>
        <w:t xml:space="preserve">they are drawn against remains visible, and the key lists the structures actually shown.</w:t>
      </w:r>
      <w:r>
        <w:t xml:space="preserve"> </w:t>
      </w:r>
      <w:r>
        <w:t xml:space="preserve">The same acquisition appears in Figure 2. Images are displayed in radiological convention,</w:t>
      </w:r>
      <w:r>
        <w:t xml:space="preserve"> </w:t>
      </w:r>
      <w:r>
        <w:t xml:space="preserve">with the patient’s left on the viewer’s right. Only de-identified imaging from The Cancer</w:t>
      </w:r>
      <w:r>
        <w:t xml:space="preserve"> </w:t>
      </w:r>
      <w:r>
        <w:t xml:space="preserve">Imaging Archive is shown.</w:t>
      </w:r>
    </w:p>
    <w:bookmarkEnd w:id="26"/>
    <w:bookmarkStart w:id="30" w:name="organ-specific-modulation-weights"/>
    <w:p>
      <w:pPr>
        <w:pStyle w:val="Heading3"/>
      </w:pPr>
      <w:r>
        <w:t xml:space="preserve">3.2. Organ-Specific Modulation Weights</w:t>
      </w:r>
    </w:p>
    <w:p>
      <w:pPr>
        <w:pStyle w:val="FirstParagraph"/>
      </w:pPr>
      <w:r>
        <w:t xml:space="preserve">Across the eligible series, organ-specific modulation weights span 0.59 to 1.69. The</w:t>
      </w:r>
      <w:r>
        <w:t xml:space="preserve"> </w:t>
      </w:r>
      <w:r>
        <w:t xml:space="preserve">anatomy-weighted index therefore departs from the whole-scan CTDIvol by up to roughly 70%</w:t>
      </w:r>
      <w:r>
        <w:t xml:space="preserve"> </w:t>
      </w:r>
      <w:r>
        <w:t xml:space="preserve">in either direction within a single acquisition, which is the variation the index exists</w:t>
      </w:r>
      <w:r>
        <w:t xml:space="preserve"> </w:t>
      </w:r>
      <w:r>
        <w:t xml:space="preserve">to express.</w:t>
      </w:r>
    </w:p>
    <w:p>
      <w:pPr>
        <w:pStyle w:val="BodyText"/>
      </w:pPr>
      <w:r>
        <w:t xml:space="preserve">Figure 2 shows one acquisition end to end: a Canon/Toshiba Aquilion PRIME series of 268</w:t>
      </w:r>
      <w:r>
        <w:t xml:space="preserve"> </w:t>
      </w:r>
      <w:r>
        <w:t xml:space="preserve">slices with a recorded CTDIvol of 16.1 mGy and a scan mean tube current of 265 mA. The</w:t>
      </w:r>
      <w:r>
        <w:t xml:space="preserve"> </w:t>
      </w:r>
      <w:r>
        <w:t xml:space="preserve">small bowel and colon, lying in the inferior abdomen where the modulation raised the</w:t>
      </w:r>
      <w:r>
        <w:t xml:space="preserve"> </w:t>
      </w:r>
      <w:r>
        <w:t xml:space="preserve">current to about 447 and 435 mA, take weights of 1.69 and 1.64 respectively, giving indices</w:t>
      </w:r>
      <w:r>
        <w:t xml:space="preserve"> </w:t>
      </w:r>
      <w:r>
        <w:t xml:space="preserve">near 27 mGy; the left kidney and stomach, higher in the scan, take weights of 0.94 and</w:t>
      </w:r>
      <w:r>
        <w:t xml:space="preserve"> </w:t>
      </w:r>
      <w:r>
        <w:t xml:space="preserve">indices near 15 mGy. Two organs in the same acquisition thus differ by a factor of 1.8 in</w:t>
      </w:r>
      <w:r>
        <w:t xml:space="preserve"> </w:t>
      </w:r>
      <w:r>
        <w:t xml:space="preserve">their anatomy-weighted index, a difference no whole-scan value can express.</w:t>
      </w:r>
    </w:p>
    <w:p>
      <w:pPr>
        <w:pStyle w:val="BodyText"/>
      </w:pPr>
      <w:r>
        <w:drawing>
          <wp:inline>
            <wp:extent cx="5334000" cy="4659094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igures/fig2_demonstration_cas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9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One acquisition end to end. (</w:t>
      </w:r>
      <w:r>
        <w:rPr>
          <w:b/>
          <w:bCs/>
        </w:rPr>
        <w:t xml:space="preserve">a</w:t>
      </w:r>
      <w:r>
        <w:t xml:space="preserve">) Each organ’s longitudinal extent,</w:t>
      </w:r>
      <w:r>
        <w:t xml:space="preserve"> </w:t>
      </w:r>
      <w:r>
        <w:t xml:space="preserve">annotated with the mean tube current recorded over it, against a scan mean of 265 mA.</w:t>
      </w:r>
      <w:r>
        <w:t xml:space="preserve"> </w:t>
      </w:r>
      <w:r>
        <w:t xml:space="preserve">(</w:t>
      </w:r>
      <w:r>
        <w:rPr>
          <w:b/>
          <w:bCs/>
        </w:rPr>
        <w:t xml:space="preserve">b</w:t>
      </w:r>
      <w:r>
        <w:t xml:space="preserve">) The resulting anatomy-weighted CTDIvol index, with the organ-specific modulation</w:t>
      </w:r>
      <w:r>
        <w:t xml:space="preserve"> </w:t>
      </w:r>
      <w:r>
        <w:t xml:space="preserve">weight beside each bar; the dashed line is the whole-scan CTDIvol of 16.1 mGy. The bars</w:t>
      </w:r>
      <w:r>
        <w:t xml:space="preserve"> </w:t>
      </w:r>
      <w:r>
        <w:t xml:space="preserve">are modulation-weighted indices, not absorbed doses.</w:t>
      </w:r>
    </w:p>
    <w:bookmarkEnd w:id="30"/>
    <w:bookmarkStart w:id="34" w:name="X1e80acbb71a080ba11eed7c879b65fdaf9935e5"/>
    <w:p>
      <w:pPr>
        <w:pStyle w:val="Heading3"/>
      </w:pPr>
      <w:r>
        <w:t xml:space="preserve">3.3. Availability of a Dose Index in the Archived Headers</w:t>
      </w:r>
    </w:p>
    <w:p>
      <w:pPr>
        <w:pStyle w:val="FirstParagraph"/>
      </w:pPr>
      <w:r>
        <w:t xml:space="preserve">Across the cohort, 29 of 40 series retained a recorded CTDIvol in the archived DICOM</w:t>
      </w:r>
      <w:r>
        <w:t xml:space="preserve"> </w:t>
      </w:r>
      <w:r>
        <w:t xml:space="preserve">headers, 5 were reconstructable from acquisition physics, and 6 were neither (Figure 3).</w:t>
      </w:r>
    </w:p>
    <w:p>
      <w:pPr>
        <w:pStyle w:val="BodyText"/>
      </w:pPr>
      <w:r>
        <w:t xml:space="preserve">All 6 unrecoverable series are GE, and none of the ten sampled GE series retained a</w:t>
      </w:r>
      <w:r>
        <w:t xml:space="preserve"> </w:t>
      </w:r>
      <w:r>
        <w:t xml:space="preserve">recorded CTDIvol in the archived headers; the other three manufacturers retained one in 29</w:t>
      </w:r>
      <w:r>
        <w:t xml:space="preserve"> </w:t>
      </w:r>
      <w:r>
        <w:t xml:space="preserve">of 30. These counts are reported descriptively. No significance test is applied: series</w:t>
      </w:r>
      <w:r>
        <w:t xml:space="preserve"> </w:t>
      </w:r>
      <w:r>
        <w:t xml:space="preserve">drawn from a curated archive are not independent with respect to collection, contributing</w:t>
      </w:r>
      <w:r>
        <w:t xml:space="preserve"> </w:t>
      </w:r>
      <w:r>
        <w:t xml:space="preserve">site, scanner model, export pathway or de-identification, and a p-value computed over that</w:t>
      </w:r>
      <w:r>
        <w:t xml:space="preserve"> </w:t>
      </w:r>
      <w:r>
        <w:t xml:space="preserve">structure would describe a sampling model the data do not satisfy. For the six</w:t>
      </w:r>
      <w:r>
        <w:t xml:space="preserve"> </w:t>
      </w:r>
      <w:r>
        <w:t xml:space="preserve">unrecoverable series the organ masks, volumes, mass estimates and modulation weights are</w:t>
      </w:r>
      <w:r>
        <w:t xml:space="preserve"> </w:t>
      </w:r>
      <w:r>
        <w:t xml:space="preserve">all computable and reported, but no anatomy-weighted index exists for them.</w:t>
      </w:r>
    </w:p>
    <w:p>
      <w:pPr>
        <w:pStyle w:val="BodyText"/>
      </w:pPr>
      <w:r>
        <w:drawing>
          <wp:inline>
            <wp:extent cx="5334000" cy="289881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gures/fig3_dose_index_availability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8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Availability of a whole-scan dose index in the archived DICOM headers, by</w:t>
      </w:r>
      <w:r>
        <w:t xml:space="preserve"> </w:t>
      </w:r>
      <w:r>
        <w:t xml:space="preserve">manufacturer, in this TCIA sample. A series counted unrecoverable retained no CTDIvol in</w:t>
      </w:r>
      <w:r>
        <w:t xml:space="preserve"> </w:t>
      </w:r>
      <w:r>
        <w:t xml:space="preserve">its header and its scanner lies outside the open coefficient database. Segments are</w:t>
      </w:r>
      <w:r>
        <w:t xml:space="preserve"> </w:t>
      </w:r>
      <w:r>
        <w:t xml:space="preserve">distinguished by fill pattern as well as tone.</w:t>
      </w:r>
    </w:p>
    <w:bookmarkEnd w:id="34"/>
    <w:bookmarkStart w:id="38" w:name="X70cbf5043a3c777e943a08818979130bc3ea1a7"/>
    <w:p>
      <w:pPr>
        <w:pStyle w:val="Heading3"/>
      </w:pPr>
      <w:r>
        <w:t xml:space="preserve">3.4. External Reference Comparison of Estimated Organ Mass</w:t>
      </w:r>
    </w:p>
    <w:p>
      <w:pPr>
        <w:pStyle w:val="FirstParagraph"/>
      </w:pPr>
      <w:r>
        <w:t xml:space="preserve">Table 1 and Figure 4 place attenuation-derived estimated organ mass beside the ICRP 89</w:t>
      </w:r>
      <w:r>
        <w:t xml:space="preserve"> </w:t>
      </w:r>
      <w:r>
        <w:t xml:space="preserve">reference adult male values [13], over the 177 untruncated records of the five solid</w:t>
      </w:r>
      <w:r>
        <w:t xml:space="preserve"> </w:t>
      </w:r>
      <w:r>
        <w:t xml:space="preserve">organs.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Attenuation-derived estimated organ mass beside ICRP 89 reference adult male</w:t>
      </w:r>
      <w:r>
        <w:t xml:space="preserve"> </w:t>
      </w:r>
      <w:r>
        <w:t xml:space="preserve">values, untruncated organs only. The reference is an external anchor, not a subject-level</w:t>
      </w:r>
      <w:r>
        <w:t xml:space="preserve"> </w:t>
      </w:r>
      <w:r>
        <w:t xml:space="preserve">ground truth.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median estimated mass</w:t>
            </w:r>
          </w:p>
        </w:tc>
        <w:tc>
          <w:tcPr/>
          <w:p>
            <w:pPr>
              <w:pStyle w:val="Compact"/>
            </w:pPr>
            <w:r>
              <w:t xml:space="preserve">ratio to ICRP 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liver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1901 g</w:t>
            </w:r>
          </w:p>
        </w:tc>
        <w:tc>
          <w:tcPr/>
          <w:p>
            <w:pPr>
              <w:pStyle w:val="Compact"/>
            </w:pPr>
            <w:r>
              <w:t xml:space="preserve">1.06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spleen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259 g</w:t>
            </w:r>
          </w:p>
        </w:tc>
        <w:tc>
          <w:tcPr/>
          <w:p>
            <w:pPr>
              <w:pStyle w:val="Compact"/>
            </w:pPr>
            <w:r>
              <w:t xml:space="preserve">1.72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kidney (left)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179 g</w:t>
            </w:r>
          </w:p>
        </w:tc>
        <w:tc>
          <w:tcPr/>
          <w:p>
            <w:pPr>
              <w:pStyle w:val="Compact"/>
            </w:pPr>
            <w:r>
              <w:t xml:space="preserve">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kidney (right)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182 g</w:t>
            </w:r>
          </w:p>
        </w:tc>
        <w:tc>
          <w:tcPr/>
          <w:p>
            <w:pPr>
              <w:pStyle w:val="Compact"/>
            </w:pPr>
            <w:r>
              <w:t xml:space="preserve">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pancreas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86 g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</w:tr>
    </w:tbl>
    <w:p>
      <w:pPr>
        <w:pStyle w:val="BodyText"/>
      </w:pPr>
      <w:r>
        <w:t xml:space="preserve">Estimates for the liver were broadly consistent with the reference value, within 6%, and</w:t>
      </w:r>
      <w:r>
        <w:t xml:space="preserve"> </w:t>
      </w:r>
      <w:r>
        <w:t xml:space="preserve">the kidneys within 17%. Two organs departed more substantially: the pancreas estimate was</w:t>
      </w:r>
      <w:r>
        <w:t xml:space="preserve"> </w:t>
      </w:r>
      <w:r>
        <w:t xml:space="preserve">39% below the reference and the spleen 72% above. Neither was adjusted; possible</w:t>
      </w:r>
      <w:r>
        <w:t xml:space="preserve"> </w:t>
      </w:r>
      <w:r>
        <w:t xml:space="preserve">explanations are examined in Section 4.</w:t>
      </w:r>
    </w:p>
    <w:p>
      <w:pPr>
        <w:pStyle w:val="BodyText"/>
      </w:pPr>
      <w:r>
        <w:drawing>
          <wp:inline>
            <wp:extent cx="5147224" cy="294258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gures/fig4_organ_mass_vs_icrp89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224" cy="2942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Attenuation-derived estimated organ mass relative to the ICRP 89 reference</w:t>
      </w:r>
      <w:r>
        <w:t xml:space="preserve"> </w:t>
      </w:r>
      <w:r>
        <w:t xml:space="preserve">adult male mass, by manufacturer. Each marker is one organ in one series; the horizontal</w:t>
      </w:r>
      <w:r>
        <w:t xml:space="preserve"> </w:t>
      </w:r>
      <w:r>
        <w:t xml:space="preserve">bar is the median across all manufacturers. Organs truncated by the scan boundary are</w:t>
      </w:r>
      <w:r>
        <w:t xml:space="preserve"> </w:t>
      </w:r>
      <w:r>
        <w:t xml:space="preserve">excluded. Manufacturer is encoded by marker shape as well as colour, so the figure is</w:t>
      </w:r>
      <w:r>
        <w:t xml:space="preserve"> </w:t>
      </w:r>
      <w:r>
        <w:t xml:space="preserve">readable in greyscale.</w:t>
      </w:r>
    </w:p>
    <w:bookmarkEnd w:id="38"/>
    <w:bookmarkStart w:id="42" w:name="Xe502f279f709e96f2f22f37520e1c85ca7cf199"/>
    <w:p>
      <w:pPr>
        <w:pStyle w:val="Heading3"/>
      </w:pPr>
      <w:r>
        <w:t xml:space="preserve">3.5. What Limits an Organ-Level Modulation Analysis</w:t>
      </w:r>
    </w:p>
    <w:p>
      <w:pPr>
        <w:pStyle w:val="FirstParagraph"/>
      </w:pPr>
      <w:r>
        <w:t xml:space="preserve">Two conditions reduce what such an analysis can measure, and both differ across the</w:t>
      </w:r>
      <w:r>
        <w:t xml:space="preserve"> </w:t>
      </w:r>
      <w:r>
        <w:t xml:space="preserve">sampled manufacturers (Figure 5).</w:t>
      </w:r>
    </w:p>
    <w:p>
      <w:pPr>
        <w:pStyle w:val="BodyText"/>
      </w:pPr>
      <w:r>
        <w:t xml:space="preserve">Truncation by the scan boundary affected 5.2% of organ records on GE, 5.5% on Siemens,</w:t>
      </w:r>
      <w:r>
        <w:t xml:space="preserve"> </w:t>
      </w:r>
      <w:r>
        <w:t xml:space="preserve">10.4% on Canon/Toshiba and 20.0% on Philips, reflecting the scan ranges of the sampled</w:t>
      </w:r>
      <w:r>
        <w:t xml:space="preserve"> </w:t>
      </w:r>
      <w:r>
        <w:t xml:space="preserve">acquisitions rather than any property of the scanners. The organs most often cut are the</w:t>
      </w:r>
      <w:r>
        <w:t xml:space="preserve"> </w:t>
      </w:r>
      <w:r>
        <w:t xml:space="preserve">colon and small bowel.</w:t>
      </w:r>
    </w:p>
    <w:p>
      <w:pPr>
        <w:pStyle w:val="BodyText"/>
      </w:pPr>
      <w:r>
        <w:t xml:space="preserve">3 of the 40 series showed a peak-to-peak spread of organ weights below 0.02: their tube</w:t>
      </w:r>
      <w:r>
        <w:t xml:space="preserve"> </w:t>
      </w:r>
      <w:r>
        <w:t xml:space="preserve">current does not vary across the abdominal organs, so the weighting has nothing to</w:t>
      </w:r>
      <w:r>
        <w:t xml:space="preserve"> </w:t>
      </w:r>
      <w:r>
        <w:t xml:space="preserve">express. These series passed the modulation screen at selection, where the current varies</w:t>
      </w:r>
      <w:r>
        <w:t xml:space="preserve"> </w:t>
      </w:r>
      <w:r>
        <w:t xml:space="preserve">across the whole scan; the flatness is local to the abdomen. They are uninformative for</w:t>
      </w:r>
      <w:r>
        <w:t xml:space="preserve"> </w:t>
      </w:r>
      <w:r>
        <w:t xml:space="preserve">this analysis rather than faulty.</w:t>
      </w:r>
    </w:p>
    <w:p>
      <w:pPr>
        <w:pStyle w:val="BodyText"/>
      </w:pPr>
      <w:r>
        <w:drawing>
          <wp:inline>
            <wp:extent cx="5296186" cy="2342147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ures/fig5_study_limit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186" cy="2342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5.</w:t>
      </w:r>
      <w:r>
        <w:t xml:space="preserve"> </w:t>
      </w:r>
      <w:r>
        <w:t xml:space="preserve">What limits an organ-level modulation analysis. (</w:t>
      </w:r>
      <w:r>
        <w:rPr>
          <w:b/>
          <w:bCs/>
        </w:rPr>
        <w:t xml:space="preserve">a</w:t>
      </w:r>
      <w:r>
        <w:t xml:space="preserve">) Percentage of organ</w:t>
      </w:r>
      <w:r>
        <w:t xml:space="preserve"> </w:t>
      </w:r>
      <w:r>
        <w:t xml:space="preserve">records truncated by the scan boundary, by manufacturer, annotated with the counts.</w:t>
      </w:r>
      <w:r>
        <w:t xml:space="preserve"> </w:t>
      </w:r>
      <w:r>
        <w:t xml:space="preserve">(</w:t>
      </w:r>
      <w:r>
        <w:rPr>
          <w:b/>
          <w:bCs/>
        </w:rPr>
        <w:t xml:space="preserve">b</w:t>
      </w:r>
      <w:r>
        <w:t xml:space="preserve">) Peak-to-peak spread of the organ-specific modulation weights within each series;</w:t>
      </w:r>
      <w:r>
        <w:t xml:space="preserve"> </w:t>
      </w:r>
      <w:r>
        <w:t xml:space="preserve">the dashed line is the threshold below which a series carries no usable variation.</w:t>
      </w:r>
    </w:p>
    <w:bookmarkEnd w:id="42"/>
    <w:bookmarkEnd w:id="43"/>
    <w:bookmarkStart w:id="44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rPr>
          <w:b/>
          <w:bCs/>
        </w:rPr>
        <w:t xml:space="preserve">Principal finding.</w:t>
      </w:r>
      <w:r>
        <w:t xml:space="preserve"> </w:t>
      </w:r>
      <w:r>
        <w:t xml:space="preserve">Organ-specific modulation weights span 0.59 to 1.69 across this</w:t>
      </w:r>
      <w:r>
        <w:t xml:space="preserve"> </w:t>
      </w:r>
      <w:r>
        <w:t xml:space="preserve">cohort, and within a single acquisition two organs differed by a factor of 1.8 in their</w:t>
      </w:r>
      <w:r>
        <w:t xml:space="preserve"> </w:t>
      </w:r>
      <w:r>
        <w:t xml:space="preserve">anatomy-weighted index. Longitudinal modulation therefore produces organ-specific exposure</w:t>
      </w:r>
      <w:r>
        <w:t xml:space="preserve"> </w:t>
      </w:r>
      <w:r>
        <w:t xml:space="preserve">conditions that a single whole-scan CTDIvol cannot represent, and the magnitude is large</w:t>
      </w:r>
      <w:r>
        <w:t xml:space="preserve"> </w:t>
      </w:r>
      <w:r>
        <w:t xml:space="preserve">enough to matter for any organ-level analysis built on that value.</w:t>
      </w:r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The weight is a direct, dimensionless summary of how the recorded tube</w:t>
      </w:r>
      <w:r>
        <w:t xml:space="preserve"> </w:t>
      </w:r>
      <w:r>
        <w:t xml:space="preserve">current was distributed over an organ’s own longitudinal extent in that patient. It</w:t>
      </w:r>
      <w:r>
        <w:t xml:space="preserve"> </w:t>
      </w:r>
      <w:r>
        <w:t xml:space="preserve">requires no phantom, no simulation and no additional acquisition — only metadata the</w:t>
      </w:r>
      <w:r>
        <w:t xml:space="preserve"> </w:t>
      </w:r>
      <w:r>
        <w:t xml:space="preserve">scanner already writes and a segmentation obtained at inference.</w:t>
      </w:r>
    </w:p>
    <w:p>
      <w:pPr>
        <w:pStyle w:val="BodyText"/>
      </w:pPr>
      <w:r>
        <w:rPr>
          <w:b/>
          <w:bCs/>
        </w:rPr>
        <w:t xml:space="preserve">Relation to previous work.</w:t>
      </w:r>
      <w:r>
        <w:t xml:space="preserve"> </w:t>
      </w:r>
      <w:r>
        <w:t xml:space="preserve">The quantity is that of Khatonabadi et al. [3] and Tian et</w:t>
      </w:r>
      <w:r>
        <w:t xml:space="preserve"> </w:t>
      </w:r>
      <w:r>
        <w:t xml:space="preserve">al. [4]; what is new here is the conditions under which it was obtained. Those studies,</w:t>
      </w:r>
      <w:r>
        <w:t xml:space="preserve"> </w:t>
      </w:r>
      <w:r>
        <w:t xml:space="preserve">and the related modulation dosimetry of Angel et al. [2] and Bostani et al. [5,6],</w:t>
      </w:r>
      <w:r>
        <w:t xml:space="preserve"> </w:t>
      </w:r>
      <w:r>
        <w:t xml:space="preserve">established the concept and validated it against Monte-Carlo dose on single-institution</w:t>
      </w:r>
      <w:r>
        <w:t xml:space="preserve"> </w:t>
      </w:r>
      <w:r>
        <w:t xml:space="preserve">cohorts, typically with one or two scanner models, manual or semi-automatic contours, and</w:t>
      </w:r>
      <w:r>
        <w:t xml:space="preserve"> </w:t>
      </w:r>
      <w:r>
        <w:t xml:space="preserve">in several cases raw projection data or vendor-supplied modulation profiles. Archived</w:t>
      </w:r>
      <w:r>
        <w:t xml:space="preserve"> </w:t>
      </w:r>
      <w:r>
        <w:t xml:space="preserve">DICOM retains none of the latter. This study consequently answers questions those designs</w:t>
      </w:r>
      <w:r>
        <w:t xml:space="preserve"> </w:t>
      </w:r>
      <w:r>
        <w:t xml:space="preserve">were not positioned to address: that the quantity is computable from archived headers</w:t>
      </w:r>
      <w:r>
        <w:t xml:space="preserve"> </w:t>
      </w:r>
      <w:r>
        <w:t xml:space="preserve">alone, on four manufacturers and 23 scanner models, with contours obtained at inference;</w:t>
      </w:r>
      <w:r>
        <w:t xml:space="preserve"> </w:t>
      </w:r>
      <w:r>
        <w:t xml:space="preserve">that its range across such a cohort is 0.59 to 1.69; and — the finding with the most</w:t>
      </w:r>
      <w:r>
        <w:t xml:space="preserve"> </w:t>
      </w:r>
      <w:r>
        <w:t xml:space="preserve">practical consequence — that the whole-scan CTDIvol it scales is missing from a</w:t>
      </w:r>
      <w:r>
        <w:t xml:space="preserve"> </w:t>
      </w:r>
      <w:r>
        <w:t xml:space="preserve">manufacturer-associated fraction of archived series, which bounds any retrospective study</w:t>
      </w:r>
      <w:r>
        <w:t xml:space="preserve"> </w:t>
      </w:r>
      <w:r>
        <w:t xml:space="preserve">of this kind before segmentation is even attempted. The contribution is therefore</w:t>
      </w:r>
      <w:r>
        <w:t xml:space="preserve"> </w:t>
      </w:r>
      <w:r>
        <w:t xml:space="preserve">operationalisation and empirical characterisation, not a new index, and the reported</w:t>
      </w:r>
      <w:r>
        <w:t xml:space="preserve"> </w:t>
      </w:r>
      <w:r>
        <w:t xml:space="preserve">values should be read as describing archived multi-vendor data rather than as improving</w:t>
      </w:r>
      <w:r>
        <w:t xml:space="preserve"> </w:t>
      </w:r>
      <w:r>
        <w:t xml:space="preserve">on the Monte-Carlo validations already published.</w:t>
      </w:r>
    </w:p>
    <w:p>
      <w:pPr>
        <w:pStyle w:val="BodyText"/>
      </w:pPr>
      <w:r>
        <w:rPr>
          <w:b/>
          <w:bCs/>
        </w:rPr>
        <w:t xml:space="preserve">What the index is, and what it is not.</w:t>
      </w:r>
      <w:r>
        <w:t xml:space="preserve"> </w:t>
      </w:r>
      <w:r>
        <w:t xml:space="preserve">As set out in Section 2.10, the index addresses</w:t>
      </w:r>
      <w:r>
        <w:t xml:space="preserve"> </w:t>
      </w:r>
      <w:r>
        <w:t xml:space="preserve">longitudinal modulation alone. It does not account for scatter, for irradiation</w:t>
      </w:r>
      <w:r>
        <w:t xml:space="preserve"> </w:t>
      </w:r>
      <w:r>
        <w:t xml:space="preserve">originating outside the organ’s segmented extent, for angular modulation, for organ depth</w:t>
      </w:r>
      <w:r>
        <w:t xml:space="preserve"> </w:t>
      </w:r>
      <w:r>
        <w:t xml:space="preserve">and attenuation, or for radiation transport, and it is not an estimate of absorbed organ</w:t>
      </w:r>
      <w:r>
        <w:t xml:space="preserve"> </w:t>
      </w:r>
      <w:r>
        <w:t xml:space="preserve">dose in milligray. Its value lies in isolating one well-defined contribution — the</w:t>
      </w:r>
      <w:r>
        <w:t xml:space="preserve"> </w:t>
      </w:r>
      <w:r>
        <w:t xml:space="preserve">longitudinal one — and reporting it patient-specifically and reproducibly.</w:t>
      </w:r>
    </w:p>
    <w:p>
      <w:pPr>
        <w:pStyle w:val="BodyText"/>
      </w:pPr>
      <w:r>
        <w:rPr>
          <w:b/>
          <w:bCs/>
        </w:rPr>
        <w:t xml:space="preserve">External reference comparison of estimated mass.</w:t>
      </w:r>
      <w:r>
        <w:t xml:space="preserve"> </w:t>
      </w:r>
      <w:r>
        <w:t xml:space="preserve">Liver and kidney estimates were</w:t>
      </w:r>
      <w:r>
        <w:t xml:space="preserve"> </w:t>
      </w:r>
      <w:r>
        <w:t xml:space="preserve">broadly consistent with ICRP 89 reference values, which is the expected behaviour if the</w:t>
      </w:r>
      <w:r>
        <w:t xml:space="preserve"> </w:t>
      </w:r>
      <w:r>
        <w:t xml:space="preserve">segmentation and the density model are working. The pancreas estimate sits 39% below the</w:t>
      </w:r>
      <w:r>
        <w:t xml:space="preserve"> </w:t>
      </w:r>
      <w:r>
        <w:t xml:space="preserve">reference. The pancreas is the weakest of these organs in TotalSegmentator’s own</w:t>
      </w:r>
      <w:r>
        <w:t xml:space="preserve"> </w:t>
      </w:r>
      <w:r>
        <w:t xml:space="preserve">validation (Dice 0.887, against 0.965 for the liver, 0.983 for the spleen and 0.953 and</w:t>
      </w:r>
      <w:r>
        <w:t xml:space="preserve"> </w:t>
      </w:r>
      <w:r>
        <w:t xml:space="preserve">0.939 for the kidneys [8]), which supports reduced boundary agreement; but Dice is</w:t>
      </w:r>
      <w:r>
        <w:t xml:space="preserve"> </w:t>
      </w:r>
      <w:r>
        <w:t xml:space="preserve">symmetric and does not establish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of a disagreement, so it does not by</w:t>
      </w:r>
      <w:r>
        <w:t xml:space="preserve"> </w:t>
      </w:r>
      <w:r>
        <w:t xml:space="preserve">itself demonstrate under-segmentation. Contrast phase, reconstruction kernel and genuine</w:t>
      </w:r>
      <w:r>
        <w:t xml:space="preserve"> </w:t>
      </w:r>
      <w:r>
        <w:t xml:space="preserve">anatomical variation in this cohort are alternative contributors that the present design</w:t>
      </w:r>
      <w:r>
        <w:t xml:space="preserve"> </w:t>
      </w:r>
      <w:r>
        <w:t xml:space="preserve">cannot separate. The source of the discrepancy cannot be determined without subject-level</w:t>
      </w:r>
      <w:r>
        <w:t xml:space="preserve"> </w:t>
      </w:r>
      <w:r>
        <w:t xml:space="preserve">reference contours or clinical ground truth.</w:t>
      </w:r>
    </w:p>
    <w:p>
      <w:pPr>
        <w:pStyle w:val="BodyText"/>
      </w:pPr>
      <w:r>
        <w:t xml:space="preserve">The spleen estimate sits 72% above the reference. The four largest cases — 4.47, 3.74,</w:t>
      </w:r>
      <w:r>
        <w:t xml:space="preserve"> </w:t>
      </w:r>
      <w:r>
        <w:t xml:space="preserve">3.34 and 3.06 times the reference value — were reviewed slice by slice against their own</w:t>
      </w:r>
      <w:r>
        <w:t xml:space="preserve"> </w:t>
      </w:r>
      <w:r>
        <w:t xml:space="preserve">images: each contour follows the splenic boundary with correct laterality, tracks the notch</w:t>
      </w:r>
      <w:r>
        <w:t xml:space="preserve"> </w:t>
      </w:r>
      <w:r>
        <w:t xml:space="preserve">at the hilum, shows no leakage into liver, kidney or stomach, and forms a single connected</w:t>
      </w:r>
      <w:r>
        <w:t xml:space="preserve"> </w:t>
      </w:r>
      <w:r>
        <w:t xml:space="preserve">component, so no accessory spleen was included. Their mean densities, 1.052 to 1.078</w:t>
      </w:r>
      <w:r>
        <w:t xml:space="preserve"> </w:t>
      </w:r>
      <w:r>
        <w:t xml:space="preserve">g/cm³, are unremarkable for splenic tissue, so the elevation arises from segmented volume</w:t>
      </w:r>
      <w:r>
        <w:t xml:space="preserve"> </w:t>
      </w:r>
      <w:r>
        <w:t xml:space="preserve">rather than from the density model; and the spleen is the best-segmented of these organs</w:t>
      </w:r>
      <w:r>
        <w:t xml:space="preserve"> </w:t>
      </w:r>
      <w:r>
        <w:t xml:space="preserve">in the segmenter’s validation. The cases arise on four different manufacturers. The cohort</w:t>
      </w:r>
      <w:r>
        <w:t xml:space="preserve"> </w:t>
      </w:r>
      <w:r>
        <w:t xml:space="preserve">is oncological — renal cell, colorectal and adrenal carcinoma — in which splenomegaly is</w:t>
      </w:r>
      <w:r>
        <w:t xml:space="preserve"> </w:t>
      </w:r>
      <w:r>
        <w:t xml:space="preserve">common, and the ICRP reference adult is not that population. The observed elevation was</w:t>
      </w:r>
      <w:r>
        <w:t xml:space="preserve"> </w:t>
      </w:r>
      <w:r>
        <w:t xml:space="preserve">most consistent with cohort anatomy among the explanations examined, although</w:t>
      </w:r>
      <w:r>
        <w:t xml:space="preserve"> </w:t>
      </w:r>
      <w:r>
        <w:t xml:space="preserve">subject-level pathological confirmation was unavailable.</w:t>
      </w:r>
    </w:p>
    <w:p>
      <w:pPr>
        <w:pStyle w:val="BodyText"/>
      </w:pPr>
      <w:r>
        <w:rPr>
          <w:b/>
          <w:bCs/>
        </w:rPr>
        <w:t xml:space="preserve">Availability in archived headers, and its confounders.</w:t>
      </w:r>
      <w:r>
        <w:t xml:space="preserve"> </w:t>
      </w:r>
      <w:r>
        <w:t xml:space="preserve">In this sample, availability of</w:t>
      </w:r>
      <w:r>
        <w:t xml:space="preserve"> </w:t>
      </w:r>
      <w:r>
        <w:t xml:space="preserve">a recorded CTDIvol differed markedly with manufacturer. This is an observation about</w:t>
      </w:r>
      <w:r>
        <w:t xml:space="preserve"> </w:t>
      </w:r>
      <w:r>
        <w:t xml:space="preserve">archived DICOM headers in one curated archive, not a statement about scanner</w:t>
      </w:r>
      <w:r>
        <w:t xml:space="preserve"> </w:t>
      </w:r>
      <w:r>
        <w:t xml:space="preserve">implementations. The present design cannot distinguish between scanner implementation,</w:t>
      </w:r>
      <w:r>
        <w:t xml:space="preserve"> </w:t>
      </w:r>
      <w:r>
        <w:t xml:space="preserve">scanner generation, acquisition site, DICOM export pathway, PACS processing,</w:t>
      </w:r>
      <w:r>
        <w:t xml:space="preserve"> </w:t>
      </w:r>
      <w:r>
        <w:t xml:space="preserve">de-identification, archive curation and collection composition as the origin of a missing</w:t>
      </w:r>
      <w:r>
        <w:t xml:space="preserve"> </w:t>
      </w:r>
      <w:r>
        <w:t xml:space="preserve">attribute; several of these are confounded with manufacturer through collection</w:t>
      </w:r>
      <w:r>
        <w:t xml:space="preserve"> </w:t>
      </w:r>
      <w:r>
        <w:t xml:space="preserve">membership. The practical consequence stands regardless of cause: a retrospective</w:t>
      </w:r>
      <w:r>
        <w:t xml:space="preserve"> </w:t>
      </w:r>
      <w:r>
        <w:t xml:space="preserve">organ-level analysis drawn from an archive will lose a manufacturer-associated fraction of</w:t>
      </w:r>
      <w:r>
        <w:t xml:space="preserve"> </w:t>
      </w:r>
      <w:r>
        <w:t xml:space="preserve">its cohort before segmentation is considered, and a study that does not report which</w:t>
      </w:r>
      <w:r>
        <w:t xml:space="preserve"> </w:t>
      </w:r>
      <w:r>
        <w:t xml:space="preserve">series were lost will under-represent that manufacturer silently.</w:t>
      </w:r>
    </w:p>
    <w:p>
      <w:pPr>
        <w:pStyle w:val="BodyText"/>
      </w:pPr>
      <w:r>
        <w:rPr>
          <w:b/>
          <w:bCs/>
        </w:rPr>
        <w:t xml:space="preserve">Why acquisition constancy has to be screened.</w:t>
      </w:r>
      <w:r>
        <w:t xml:space="preserve"> </w:t>
      </w:r>
      <w:r>
        <w:t xml:space="preserve">The acquisition-constancy criterion</w:t>
      </w:r>
      <w:r>
        <w:t xml:space="preserve"> </w:t>
      </w:r>
      <w:r>
        <w:t xml:space="preserve">identified one series in which tube current alone was not proportional to scanner output,</w:t>
      </w:r>
      <w:r>
        <w:t xml:space="preserve"> </w:t>
      </w:r>
      <w:r>
        <w:t xml:space="preserve">because the acquisition changed rotation and exposure time part-way through. Excluding it</w:t>
      </w:r>
      <w:r>
        <w:t xml:space="preserve"> </w:t>
      </w:r>
      <w:r>
        <w:t xml:space="preserve">prevents a mixed acquisition from entering the quantitative modulation analysis, and</w:t>
      </w:r>
      <w:r>
        <w:t xml:space="preserve"> </w:t>
      </w:r>
      <w:r>
        <w:t xml:space="preserve">illustrates why constancy must be verified rather than assumed: nothing in the images, the</w:t>
      </w:r>
      <w:r>
        <w:t xml:space="preserve"> </w:t>
      </w:r>
      <w:r>
        <w:t xml:space="preserve">segmentation or the weights themselves would have revealed it. A current–time product</w:t>
      </w:r>
      <w:r>
        <w:t xml:space="preserve"> </w:t>
      </w:r>
      <w:r>
        <w:t xml:space="preserve">would be the more faithful weighting in general; it is not adopted here because exposure</w:t>
      </w:r>
      <w:r>
        <w:t xml:space="preserve"> </w:t>
      </w:r>
      <w:r>
        <w:t xml:space="preserve">time is absent from the archived headers of one other series and could not be applied</w:t>
      </w:r>
      <w:r>
        <w:t xml:space="preserve"> </w:t>
      </w:r>
      <w:r>
        <w:t xml:space="preserve">uniformly across the cohort.</w:t>
      </w:r>
    </w:p>
    <w:p>
      <w:pPr>
        <w:pStyle w:val="BodyText"/>
      </w:pPr>
      <w:r>
        <w:rPr>
          <w:b/>
          <w:bCs/>
        </w:rPr>
        <w:t xml:space="preserve">Reproducibility and open implementation.</w:t>
      </w:r>
      <w:r>
        <w:t xml:space="preserve"> </w:t>
      </w:r>
      <w:r>
        <w:t xml:space="preserve">The implementation is MIT-licensed, no</w:t>
      </w:r>
      <w:r>
        <w:t xml:space="preserve"> </w:t>
      </w:r>
      <w:r>
        <w:t xml:space="preserve">imaging is redistributed, and every reported value is re-derived from the per-series</w:t>
      </w:r>
      <w:r>
        <w:t xml:space="preserve"> </w:t>
      </w:r>
      <w:r>
        <w:t xml:space="preserve">records by an automated test suite that regenerates the analysis tables and compares them.</w:t>
      </w:r>
      <w:r>
        <w:t xml:space="preserve"> </w:t>
      </w:r>
      <w:r>
        <w:t xml:space="preserve">The acquisition procedure, the analysis and the figures are each a single command. The</w:t>
      </w:r>
      <w:r>
        <w:t xml:space="preserve"> </w:t>
      </w:r>
      <w:r>
        <w:t xml:space="preserve">components differ in status and are not claimed as uniformly open: the imaging is publicly</w:t>
      </w:r>
      <w:r>
        <w:t xml:space="preserve"> </w:t>
      </w:r>
      <w:r>
        <w:t xml:space="preserve">accessible under collection-specific licences; the segmentation software and the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task weights are openly redistributable; the normalised-CTDI database is CC BY; the</w:t>
      </w:r>
      <w:r>
        <w:t xml:space="preserve"> </w:t>
      </w:r>
      <w:r>
        <w:t xml:space="preserve">HU-to-density anchor values are used by citation to ICRU Report 44 [17] and Schneider et</w:t>
      </w:r>
      <w:r>
        <w:t xml:space="preserve"> </w:t>
      </w:r>
      <w:r>
        <w:t xml:space="preserve">al. [18] rather than redistributed; and no Monte-Carlo coefficient table is included at all.</w:t>
      </w:r>
    </w:p>
    <w:p>
      <w:pPr>
        <w:pStyle w:val="BodyText"/>
      </w:pPr>
      <w:r>
        <w:rPr>
          <w:b/>
          <w:bCs/>
        </w:rPr>
        <w:t xml:space="preserve">The boundary to absorbed organ dose.</w:t>
      </w:r>
      <w:r>
        <w:t xml:space="preserve"> </w:t>
      </w:r>
      <w:r>
        <w:t xml:space="preserve">Converting an anatomy-weighted index into an</w:t>
      </w:r>
      <w:r>
        <w:t xml:space="preserve"> </w:t>
      </w:r>
      <w:r>
        <w:t xml:space="preserve">absorbed organ dose requires CTDIvol-normalised coefficients with a patient-size</w:t>
      </w:r>
      <w:r>
        <w:t xml:space="preserve"> </w:t>
      </w:r>
      <w:r>
        <w:t xml:space="preserve">correction, of the kind established by Turner et al. [10] and extended over larger patient</w:t>
      </w:r>
      <w:r>
        <w:t xml:space="preserve"> </w:t>
      </w:r>
      <w:r>
        <w:t xml:space="preserve">model libraries by Tian et al. [11], together with the transport considerations listed in</w:t>
      </w:r>
      <w:r>
        <w:t xml:space="preserve"> </w:t>
      </w:r>
      <w:r>
        <w:t xml:space="preserve">Section 2.9. Those coefficient sets are published in subscription journals or distributed</w:t>
      </w:r>
      <w:r>
        <w:t xml:space="preserve"> </w:t>
      </w:r>
      <w:r>
        <w:t xml:space="preserve">with research software under terms granting use but not redistribution, which reflects a</w:t>
      </w:r>
      <w:r>
        <w:t xml:space="preserve"> </w:t>
      </w:r>
      <w:r>
        <w:t xml:space="preserve">publishing convention for Monte-Carlo reference data rather than any deficiency in the</w:t>
      </w:r>
      <w:r>
        <w:t xml:space="preserve"> </w:t>
      </w:r>
      <w:r>
        <w:t xml:space="preserve">coefficients themselves. Normalised-CTDI data of the kind used here to reconstruct a</w:t>
      </w:r>
      <w:r>
        <w:t xml:space="preserve"> </w:t>
      </w:r>
      <w:r>
        <w:t xml:space="preserve">missing whole-scan index has been published under CC BY [14], which shows the convention is</w:t>
      </w:r>
      <w:r>
        <w:t xml:space="preserve"> </w:t>
      </w:r>
      <w:r>
        <w:t xml:space="preserve">movable. The software accordingly refuses to emit a dose in milligray unless supplied with</w:t>
      </w:r>
      <w:r>
        <w:t xml:space="preserve"> </w:t>
      </w:r>
      <w:r>
        <w:t xml:space="preserve">a coefficient table carrying its citation, DOI, licence and source hash.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Ten series per manufacturer supports a median and an interquartile range,</w:t>
      </w:r>
      <w:r>
        <w:t xml:space="preserve"> </w:t>
      </w:r>
      <w:r>
        <w:t xml:space="preserve">not a distributional claim, and series within the archive are not independent with respect</w:t>
      </w:r>
      <w:r>
        <w:t xml:space="preserve"> </w:t>
      </w:r>
      <w:r>
        <w:t xml:space="preserve">to collection, site, scanner model or export pathway. The cohort is oncological and not a</w:t>
      </w:r>
      <w:r>
        <w:t xml:space="preserve"> </w:t>
      </w:r>
      <w:r>
        <w:t xml:space="preserve">reference population. Contrast phase, tube voltage and reconstruction kernel were not</w:t>
      </w:r>
      <w:r>
        <w:t xml:space="preserve"> </w:t>
      </w:r>
      <w:r>
        <w:t xml:space="preserve">controlled, and all affect attenuation-derived mass estimates. A single segmentation model</w:t>
      </w:r>
      <w:r>
        <w:t xml:space="preserve"> </w:t>
      </w:r>
      <w:r>
        <w:t xml:space="preserve">was used, so segmentation behaviour and cohort anatomy cannot be separated. There is no</w:t>
      </w:r>
      <w:r>
        <w:t xml:space="preserve"> </w:t>
      </w:r>
      <w:r>
        <w:t xml:space="preserve">subject-level ground truth for organ mass. Rotation time, pitch and collimation are absent</w:t>
      </w:r>
      <w:r>
        <w:t xml:space="preserve"> </w:t>
      </w:r>
      <w:r>
        <w:t xml:space="preserve">from the archived headers of some series (19, 8 and 9 respectively), so their constancy</w:t>
      </w:r>
      <w:r>
        <w:t xml:space="preserve"> </w:t>
      </w:r>
      <w:r>
        <w:t xml:space="preserve">within those series could not be fully verified and is assumed from the single-acquisition</w:t>
      </w:r>
      <w:r>
        <w:t xml:space="preserve"> </w:t>
      </w:r>
      <w:r>
        <w:t xml:space="preserve">representation; the acquisition-constancy criterion is therefore a screen against</w:t>
      </w:r>
      <w:r>
        <w:t xml:space="preserve"> </w:t>
      </w:r>
      <w:r>
        <w:t xml:space="preserve">detectable violations rather than a guarantee. The index addresses longitudinal modulation</w:t>
      </w:r>
      <w:r>
        <w:t xml:space="preserve"> </w:t>
      </w:r>
      <w:r>
        <w:t xml:space="preserve">only, as set out in Section 2.10, and no absorbed dose is reported.</w:t>
      </w:r>
    </w:p>
    <w:p>
      <w:pPr>
        <w:pStyle w:val="BodyText"/>
      </w:pPr>
      <w:r>
        <w:rPr>
          <w:b/>
          <w:bCs/>
        </w:rPr>
        <w:t xml:space="preserve">Future work.</w:t>
      </w:r>
      <w:r>
        <w:t xml:space="preserve"> </w:t>
      </w:r>
      <w:r>
        <w:t xml:space="preserve">Coefficients computed with an open-source Monte-Carlo engine would carry</w:t>
      </w:r>
      <w:r>
        <w:t xml:space="preserve"> </w:t>
      </w:r>
      <w:r>
        <w:t xml:space="preserve">no licensing constraint and would permit the transport terms this index omits; an</w:t>
      </w:r>
      <w:r>
        <w:t xml:space="preserve"> </w:t>
      </w:r>
      <w:r>
        <w:t xml:space="preserve">independent segmentation model on the same series would separate segmentation behaviour</w:t>
      </w:r>
      <w:r>
        <w:t xml:space="preserve"> </w:t>
      </w:r>
      <w:r>
        <w:t xml:space="preserve">from cohort anatomy for the pancreas and spleen; and a larger archive cohort would allow</w:t>
      </w:r>
      <w:r>
        <w:t xml:space="preserve"> </w:t>
      </w:r>
      <w:r>
        <w:t xml:space="preserve">the availability observation to be examined with collection and site modelled explicitly</w:t>
      </w:r>
      <w:r>
        <w:t xml:space="preserve"> </w:t>
      </w:r>
      <w:r>
        <w:t xml:space="preserve">rather than confounded.</w:t>
      </w:r>
    </w:p>
    <w:bookmarkEnd w:id="44"/>
    <w:bookmarkStart w:id="45" w:name="conclusions"/>
    <w:p>
      <w:pPr>
        <w:pStyle w:val="Heading2"/>
      </w:pPr>
      <w:r>
        <w:t xml:space="preserve">5. Conclusions</w:t>
      </w:r>
    </w:p>
    <w:p>
      <w:pPr>
        <w:pStyle w:val="FirstParagraph"/>
      </w:pPr>
      <w:r>
        <w:t xml:space="preserve">This study did not compute absorbed organ dose, and did not propose a new index. It took</w:t>
      </w:r>
      <w:r>
        <w:t xml:space="preserve"> </w:t>
      </w:r>
      <w:r>
        <w:t xml:space="preserve">an organ-specific weighted CTDIvol already reported in the literature and established what</w:t>
      </w:r>
      <w:r>
        <w:t xml:space="preserve"> </w:t>
      </w:r>
      <w:r>
        <w:t xml:space="preserve">it yields when operationalised openly across manufacturers, from metadata a scanner</w:t>
      </w:r>
      <w:r>
        <w:t xml:space="preserve"> </w:t>
      </w:r>
      <w:r>
        <w:t xml:space="preserve">already records and organ masks obtained at inference.</w:t>
      </w:r>
      <w:r>
        <w:t xml:space="preserve"> </w:t>
      </w:r>
      <w:r>
        <w:t xml:space="preserve">Organ-specific modulation weights spanned 0.59 to 1.69, and two organs within one</w:t>
      </w:r>
      <w:r>
        <w:t xml:space="preserve"> </w:t>
      </w:r>
      <w:r>
        <w:t xml:space="preserve">acquisition differed by a factor of 1.8 in their index, so the variation a single</w:t>
      </w:r>
      <w:r>
        <w:t xml:space="preserve"> </w:t>
      </w:r>
      <w:r>
        <w:t xml:space="preserve">whole-scan value conceals is substantial. The approach ran across four manufacturers using</w:t>
      </w:r>
      <w:r>
        <w:t xml:space="preserve"> </w:t>
      </w:r>
      <w:r>
        <w:t xml:space="preserve">publicly accessible imaging data and openly redistributable software components, and in</w:t>
      </w:r>
      <w:r>
        <w:t xml:space="preserve"> </w:t>
      </w:r>
      <w:r>
        <w:t xml:space="preserve">this archive cohort the availability of the whole-scan CTDIvol the index scales varied</w:t>
      </w:r>
      <w:r>
        <w:t xml:space="preserve"> </w:t>
      </w:r>
      <w:r>
        <w:t xml:space="preserve">markedly between manufacturers, which constrains any retrospective analysis of this kind.</w:t>
      </w:r>
      <w:r>
        <w:t xml:space="preserve"> </w:t>
      </w:r>
      <w:r>
        <w:t xml:space="preserve">The index is a step before conversion to absorbed organ dose, not a substitute for it:</w:t>
      </w:r>
      <w:r>
        <w:t xml:space="preserve"> </w:t>
      </w:r>
      <w:r>
        <w:t xml:space="preserve">that conversion requires Monte-Carlo coefficients and the transport terms this index</w:t>
      </w:r>
      <w:r>
        <w:t xml:space="preserve"> </w:t>
      </w:r>
      <w:r>
        <w:t xml:space="preserve">omits. The implementation and derived records are openly available, provenance-aware and</w:t>
      </w:r>
      <w:r>
        <w:t xml:space="preserve"> </w:t>
      </w:r>
      <w:r>
        <w:t xml:space="preserve">reproducible from the shipped results.</w:t>
      </w:r>
    </w:p>
    <w:bookmarkEnd w:id="45"/>
    <w:bookmarkStart w:id="46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S.Y.: conceptualisation, methodology, software, validation, formal analysis,</w:t>
      </w:r>
      <w:r>
        <w:t xml:space="preserve"> </w:t>
      </w:r>
      <w:r>
        <w:t xml:space="preserve">investigation, data curation, writing — original draft, writing — review and editing,</w:t>
      </w:r>
      <w:r>
        <w:t xml:space="preserve"> </w:t>
      </w:r>
      <w:r>
        <w:t xml:space="preserve">visualisation. The author has read and agreed to the published version of the manuscript.</w:t>
      </w:r>
    </w:p>
    <w:bookmarkEnd w:id="46"/>
    <w:bookmarkStart w:id="47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This research received no external funding.</w:t>
      </w:r>
    </w:p>
    <w:bookmarkEnd w:id="47"/>
    <w:bookmarkStart w:id="48" w:name="institutional-review-board-statement"/>
    <w:p>
      <w:pPr>
        <w:pStyle w:val="Heading2"/>
      </w:pPr>
      <w:r>
        <w:t xml:space="preserve">Institutional Review Board Statement</w:t>
      </w:r>
    </w:p>
    <w:p>
      <w:pPr>
        <w:pStyle w:val="FirstParagraph"/>
      </w:pPr>
      <w:r>
        <w:t xml:space="preserve">Not applicable. This study used only publicly available, de-identified imaging from The</w:t>
      </w:r>
      <w:r>
        <w:t xml:space="preserve"> </w:t>
      </w:r>
      <w:r>
        <w:t xml:space="preserve">Cancer Imaging Archive.</w:t>
      </w:r>
    </w:p>
    <w:bookmarkEnd w:id="48"/>
    <w:bookmarkStart w:id="49" w:name="informed-consent-statement"/>
    <w:p>
      <w:pPr>
        <w:pStyle w:val="Heading2"/>
      </w:pPr>
      <w:r>
        <w:t xml:space="preserve">Informed Consent Statement</w:t>
      </w:r>
    </w:p>
    <w:p>
      <w:pPr>
        <w:pStyle w:val="FirstParagraph"/>
      </w:pPr>
      <w:r>
        <w:t xml:space="preserve">Not applicable. This study used only publicly available, de-identified imaging from The</w:t>
      </w:r>
      <w:r>
        <w:t xml:space="preserve"> </w:t>
      </w:r>
      <w:r>
        <w:t xml:space="preserve">Cancer Imaging Archive.</w:t>
      </w:r>
    </w:p>
    <w:bookmarkEnd w:id="49"/>
    <w:bookmarkStart w:id="50" w:name="data-availability-statement"/>
    <w:p>
      <w:pPr>
        <w:pStyle w:val="Heading2"/>
      </w:pPr>
      <w:r>
        <w:t xml:space="preserve">Data Availability Statement</w:t>
      </w:r>
    </w:p>
    <w:p>
      <w:pPr>
        <w:pStyle w:val="FirstParagraph"/>
      </w:pPr>
      <w:r>
        <w:t xml:space="preserve">The software supporting this study,</w:t>
      </w:r>
      <w:r>
        <w:t xml:space="preserve"> </w:t>
      </w:r>
      <w:r>
        <w:rPr>
          <w:rStyle w:val="VerbatimChar"/>
        </w:rPr>
        <w:t xml:space="preserve">ctsegdose-core</w:t>
      </w:r>
      <w:r>
        <w:t xml:space="preserve">, is openly available under the MIT</w:t>
      </w:r>
      <w:r>
        <w:t xml:space="preserve"> </w:t>
      </w:r>
      <w:r>
        <w:t xml:space="preserve">licence at https://github.com/Institute-of-One/ctsegdose-core, release</w:t>
      </w:r>
      <w:r>
        <w:t xml:space="preserve"> </w:t>
      </w:r>
      <w:r>
        <w:t xml:space="preserve">[[ pending: RELEASE_TAG ]] (commit [[ pending: COMMIT_HASH ]]), archived at Zenodo under</w:t>
      </w:r>
      <w:r>
        <w:t xml:space="preserve"> </w:t>
      </w:r>
      <w:r>
        <w:t xml:space="preserve">[[ pending: ZENODO_VERSION_DOI ]]. The machine-readable results the manuscript quotes, the per-organ</w:t>
      </w:r>
      <w:r>
        <w:t xml:space="preserve"> </w:t>
      </w:r>
      <w:r>
        <w:t xml:space="preserve">records, the analysis tables, the acquisition-parameter check and the figure scripts are</w:t>
      </w:r>
      <w:r>
        <w:t xml:space="preserve"> </w:t>
      </w:r>
      <w:r>
        <w:t xml:space="preserve">included in that repository, together with the mask-review overlays underlying Section 4.</w:t>
      </w:r>
    </w:p>
    <w:p>
      <w:pPr>
        <w:pStyle w:val="BodyText"/>
      </w:pPr>
      <w:r>
        <w:t xml:space="preserve">No DICOM imaging is redistributed. Every series analysed is identified in</w:t>
      </w:r>
      <w:r>
        <w:t xml:space="preserve"> </w:t>
      </w:r>
      <w:r>
        <w:rPr>
          <w:rStyle w:val="VerbatimChar"/>
        </w:rPr>
        <w:t xml:space="preserve">data/PROVENANCE.json</w:t>
      </w:r>
      <w:r>
        <w:t xml:space="preserve"> </w:t>
      </w:r>
      <w:r>
        <w:t xml:space="preserve">by collection, collection DOI, Series Instance UID, manufacturer,</w:t>
      </w:r>
      <w:r>
        <w:t xml:space="preserve"> </w:t>
      </w:r>
      <w:r>
        <w:t xml:space="preserve">model, licence and retrieval date, and is retrievable directly from The Cancer Imaging</w:t>
      </w:r>
      <w:r>
        <w:t xml:space="preserve"> </w:t>
      </w:r>
      <w:r>
        <w:t xml:space="preserve">Archive by following</w:t>
      </w:r>
      <w:r>
        <w:t xml:space="preserve"> </w:t>
      </w:r>
      <w:r>
        <w:rPr>
          <w:rStyle w:val="VerbatimChar"/>
        </w:rPr>
        <w:t xml:space="preserve">docs/REPRODUCING_DATA.md</w:t>
      </w:r>
      <w:r>
        <w:t xml:space="preserve">. The forty series were retrieved under</w:t>
      </w:r>
      <w:r>
        <w:t xml:space="preserve"> </w:t>
      </w:r>
      <w:r>
        <w:t xml:space="preserve">Creative Commons Attribution licences (33 under CC BY 4.0, 7 under CC BY 3.0) as recorded</w:t>
      </w:r>
      <w:r>
        <w:t xml:space="preserve"> </w:t>
      </w:r>
      <w:r>
        <w:t xml:space="preserve">per series; the licence terms of each originating collection and the TCIA Data Usage</w:t>
      </w:r>
      <w:r>
        <w:t xml:space="preserve"> </w:t>
      </w:r>
      <w:r>
        <w:t xml:space="preserve">Policy apply.</w:t>
      </w:r>
    </w:p>
    <w:p>
      <w:pPr>
        <w:pStyle w:val="BodyText"/>
      </w:pPr>
      <w:r>
        <w:t xml:space="preserve">Segmentation used TotalSegmentator [8]. Its software code is distributed under the Apache</w:t>
      </w:r>
      <w:r>
        <w:t xml:space="preserve"> </w:t>
      </w:r>
      <w:r>
        <w:t xml:space="preserve">2.0 licence, and the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task model weights used here are likewise stated by the</w:t>
      </w:r>
      <w:r>
        <w:t xml:space="preserve"> </w:t>
      </w:r>
      <w:r>
        <w:t xml:space="preserve">project to be openly available under Apache 2.0; other tasks in that project require a</w:t>
      </w:r>
      <w:r>
        <w:t xml:space="preserve"> </w:t>
      </w:r>
      <w:r>
        <w:t xml:space="preserve">separate licence and were not used. No model weights are redistributed with this work.</w:t>
      </w:r>
    </w:p>
    <w:p>
      <w:pPr>
        <w:pStyle w:val="BodyText"/>
      </w:pPr>
      <w:r>
        <w:t xml:space="preserve">No organ-dose coefficient table is redistributed, for the licensing reasons set out in</w:t>
      </w:r>
      <w:r>
        <w:t xml:space="preserve"> </w:t>
      </w:r>
      <w:r>
        <w:t xml:space="preserve">Section 4.</w:t>
      </w:r>
    </w:p>
    <w:bookmarkEnd w:id="50"/>
    <w:bookmarkStart w:id="51" w:name="conflicts-of-interest"/>
    <w:p>
      <w:pPr>
        <w:pStyle w:val="Heading2"/>
      </w:pPr>
      <w:r>
        <w:t xml:space="preserve">Conflicts of Interest</w:t>
      </w:r>
    </w:p>
    <w:p>
      <w:pPr>
        <w:pStyle w:val="FirstParagraph"/>
      </w:pPr>
      <w:r>
        <w:t xml:space="preserve">The author is the representative of LISIT Co., Ltd. (Tokyo, Japan) and Chief Executive</w:t>
      </w:r>
      <w:r>
        <w:t xml:space="preserve"> </w:t>
      </w:r>
      <w:r>
        <w:t xml:space="preserve">Officer of TexelCraft OÜ (Estonia), and has a commercial interest in downstream products</w:t>
      </w:r>
      <w:r>
        <w:t xml:space="preserve"> </w:t>
      </w:r>
      <w:r>
        <w:t xml:space="preserve">that may incorporate or build upon the methods described here. The software reported in</w:t>
      </w:r>
      <w:r>
        <w:t xml:space="preserve"> </w:t>
      </w:r>
      <w:r>
        <w:t xml:space="preserve">this article is released under the MIT licence. No patient data, customer data or</w:t>
      </w:r>
      <w:r>
        <w:t xml:space="preserve"> </w:t>
      </w:r>
      <w:r>
        <w:t xml:space="preserve">proprietary clinical data were used; all imaging is publicly available and de-identified.</w:t>
      </w:r>
    </w:p>
    <w:bookmarkEnd w:id="51"/>
    <w:bookmarkStart w:id="52" w:name="X662c2d66dd1eda3268d2087202c966cd73b2601"/>
    <w:p>
      <w:pPr>
        <w:pStyle w:val="Heading2"/>
      </w:pPr>
      <w:r>
        <w:t xml:space="preserve">Use of Generative Artificial Intelligence</w:t>
      </w:r>
    </w:p>
    <w:p>
      <w:pPr>
        <w:pStyle w:val="FirstParagraph"/>
      </w:pPr>
      <w:r>
        <w:t xml:space="preserve">A generative artificial intelligence assistant (Claude, Anthropic) was used as a tool in</w:t>
      </w:r>
      <w:r>
        <w:t xml:space="preserve"> </w:t>
      </w:r>
      <w:r>
        <w:t xml:space="preserve">the development of the software and in drafting and editing the text of this manuscript.</w:t>
      </w:r>
      <w:r>
        <w:t xml:space="preserve"> </w:t>
      </w:r>
      <w:r>
        <w:t xml:space="preserve">All reported results are produced by executable code contained in the cited repository,</w:t>
      </w:r>
      <w:r>
        <w:t xml:space="preserve"> </w:t>
      </w:r>
      <w:r>
        <w:t xml:space="preserve">are re-derived from the underlying per-series records by an automated test suite, and were</w:t>
      </w:r>
      <w:r>
        <w:t xml:space="preserve"> </w:t>
      </w:r>
      <w:r>
        <w:t xml:space="preserve">verified by the author. All scientific judgements, interpretations and conclusions are the</w:t>
      </w:r>
      <w:r>
        <w:t xml:space="preserve"> </w:t>
      </w:r>
      <w:r>
        <w:t xml:space="preserve">author’s, who takes full responsibility for the content of this article.</w:t>
      </w:r>
    </w:p>
    <w:bookmarkEnd w:id="52"/>
    <w:bookmarkStart w:id="5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McCollough, C.H.; Leng, S.; Yu, L.; Cody, D.D.; Boone, J.M.; McNitt-Gray, M.F. CT Dose</w:t>
      </w:r>
      <w:r>
        <w:t xml:space="preserve"> </w:t>
      </w:r>
      <w:r>
        <w:t xml:space="preserve">Index and Patient Dose: They Are Not the Same Thing.</w:t>
      </w:r>
      <w:r>
        <w:t xml:space="preserve"> </w:t>
      </w:r>
      <w:r>
        <w:rPr>
          <w:i/>
          <w:iCs/>
        </w:rPr>
        <w:t xml:space="preserve">Radiology</w:t>
      </w:r>
      <w:r>
        <w:t xml:space="preserve"> </w:t>
      </w:r>
      <w:r>
        <w:rPr>
          <w:b/>
          <w:bCs/>
        </w:rPr>
        <w:t xml:space="preserve">2011</w:t>
      </w:r>
      <w:r>
        <w:t xml:space="preserve">,</w:t>
      </w:r>
      <w:r>
        <w:t xml:space="preserve"> </w:t>
      </w:r>
      <w:r>
        <w:rPr>
          <w:i/>
          <w:iCs/>
        </w:rPr>
        <w:t xml:space="preserve">259</w:t>
      </w:r>
      <w:r>
        <w:t xml:space="preserve">,</w:t>
      </w:r>
      <w:r>
        <w:t xml:space="preserve"> </w:t>
      </w:r>
      <w:r>
        <w:t xml:space="preserve">311–316. https://doi.org/10.1148/radiol.11101800</w:t>
      </w:r>
    </w:p>
    <w:p>
      <w:pPr>
        <w:pStyle w:val="Compact"/>
        <w:numPr>
          <w:ilvl w:val="0"/>
          <w:numId w:val="1002"/>
        </w:numPr>
      </w:pPr>
      <w:r>
        <w:t xml:space="preserve">Angel, E.; Yaghmai, N.; Jude, C.M.; DeMarco, J.J.; Cagnon, C.H.; Goldin, J.G.; Primak,</w:t>
      </w:r>
      <w:r>
        <w:t xml:space="preserve"> </w:t>
      </w:r>
      <w:r>
        <w:t xml:space="preserve">A.N.; Stevens, D.M.; Cody, D.D.; McCollough, C.H.; McNitt-Gray, M.F. Monte Carlo</w:t>
      </w:r>
      <w:r>
        <w:t xml:space="preserve"> </w:t>
      </w:r>
      <w:r>
        <w:t xml:space="preserve">Simulations to Assess the Effects of Tube Current Modulation on Breast Dose for</w:t>
      </w:r>
      <w:r>
        <w:t xml:space="preserve"> </w:t>
      </w:r>
      <w:r>
        <w:t xml:space="preserve">Multidetector CT.</w:t>
      </w:r>
      <w:r>
        <w:t xml:space="preserve"> </w:t>
      </w:r>
      <w:r>
        <w:rPr>
          <w:i/>
          <w:iCs/>
        </w:rPr>
        <w:t xml:space="preserve">Phys. Med. Biol.</w:t>
      </w:r>
      <w:r>
        <w:t xml:space="preserve"> </w:t>
      </w:r>
      <w:r>
        <w:rPr>
          <w:b/>
          <w:bCs/>
        </w:rPr>
        <w:t xml:space="preserve">2009</w:t>
      </w:r>
      <w:r>
        <w:t xml:space="preserve">,</w:t>
      </w:r>
      <w:r>
        <w:t xml:space="preserve"> </w:t>
      </w:r>
      <w:r>
        <w:rPr>
          <w:i/>
          <w:iCs/>
        </w:rPr>
        <w:t xml:space="preserve">54</w:t>
      </w:r>
      <w:r>
        <w:t xml:space="preserve">, 497–512.</w:t>
      </w:r>
      <w:r>
        <w:t xml:space="preserve"> </w:t>
      </w:r>
      <w:r>
        <w:t xml:space="preserve">https://doi.org/10.1088/0031-9155/54/3/003</w:t>
      </w:r>
    </w:p>
    <w:p>
      <w:pPr>
        <w:pStyle w:val="Compact"/>
        <w:numPr>
          <w:ilvl w:val="0"/>
          <w:numId w:val="1002"/>
        </w:numPr>
      </w:pPr>
      <w:r>
        <w:t xml:space="preserve">Khatonabadi, M.; Kim, H.J.; Lu, P.; McMillan, K.L.; Cagnon, C.H.; DeMarco, J.J.;</w:t>
      </w:r>
      <w:r>
        <w:t xml:space="preserve"> </w:t>
      </w:r>
      <w:r>
        <w:t xml:space="preserve">McNitt-Gray, M.F. The Feasibility of a Regional CTDIvol to Estimate Organ Dose from</w:t>
      </w:r>
      <w:r>
        <w:t xml:space="preserve"> </w:t>
      </w:r>
      <w:r>
        <w:t xml:space="preserve">Tube Current Modulated CT Exams.</w:t>
      </w:r>
      <w:r>
        <w:t xml:space="preserve"> </w:t>
      </w:r>
      <w:r>
        <w:rPr>
          <w:i/>
          <w:iCs/>
        </w:rPr>
        <w:t xml:space="preserve">Med. Phys.</w:t>
      </w:r>
      <w:r>
        <w:t xml:space="preserve"> </w:t>
      </w:r>
      <w:r>
        <w:rPr>
          <w:b/>
          <w:bCs/>
        </w:rPr>
        <w:t xml:space="preserve">2013</w:t>
      </w:r>
      <w:r>
        <w:t xml:space="preserve">,</w:t>
      </w:r>
      <w:r>
        <w:t xml:space="preserve"> </w:t>
      </w:r>
      <w:r>
        <w:rPr>
          <w:i/>
          <w:iCs/>
        </w:rPr>
        <w:t xml:space="preserve">40</w:t>
      </w:r>
      <w:r>
        <w:t xml:space="preserve">, 051903.</w:t>
      </w:r>
      <w:r>
        <w:t xml:space="preserve"> </w:t>
      </w:r>
      <w:r>
        <w:t xml:space="preserve">https://doi.org/10.1118/1.4798561</w:t>
      </w:r>
    </w:p>
    <w:p>
      <w:pPr>
        <w:pStyle w:val="Compact"/>
        <w:numPr>
          <w:ilvl w:val="0"/>
          <w:numId w:val="1002"/>
        </w:numPr>
      </w:pPr>
      <w:r>
        <w:t xml:space="preserve">Tian, X.; Li, X.; Segars, W.P.; Frush, D.P.; Samei, E. Prospective Estimation of Organ</w:t>
      </w:r>
      <w:r>
        <w:t xml:space="preserve"> </w:t>
      </w:r>
      <w:r>
        <w:t xml:space="preserve">Dose in CT under Tube Current Modulation.</w:t>
      </w:r>
      <w:r>
        <w:t xml:space="preserve"> </w:t>
      </w:r>
      <w:r>
        <w:rPr>
          <w:i/>
          <w:iCs/>
        </w:rPr>
        <w:t xml:space="preserve">Med. Phys.</w:t>
      </w:r>
      <w:r>
        <w:t xml:space="preserve"> </w:t>
      </w:r>
      <w:r>
        <w:rPr>
          <w:b/>
          <w:bCs/>
        </w:rPr>
        <w:t xml:space="preserve">2015</w:t>
      </w:r>
      <w:r>
        <w:t xml:space="preserve">,</w:t>
      </w:r>
      <w:r>
        <w:t xml:space="preserve"> </w:t>
      </w:r>
      <w:r>
        <w:rPr>
          <w:i/>
          <w:iCs/>
        </w:rPr>
        <w:t xml:space="preserve">42</w:t>
      </w:r>
      <w:r>
        <w:t xml:space="preserve">, 1575–1585.</w:t>
      </w:r>
      <w:r>
        <w:t xml:space="preserve"> </w:t>
      </w:r>
      <w:r>
        <w:t xml:space="preserve">https://doi.org/10.1118/1.4907955</w:t>
      </w:r>
    </w:p>
    <w:p>
      <w:pPr>
        <w:pStyle w:val="Compact"/>
        <w:numPr>
          <w:ilvl w:val="0"/>
          <w:numId w:val="1002"/>
        </w:numPr>
      </w:pPr>
      <w:r>
        <w:t xml:space="preserve">Bostani, M.; McMillan, K.; DeMarco, J.J.; Cagnon, C.H.; McNitt-Gray, M.F. Validation of</w:t>
      </w:r>
      <w:r>
        <w:t xml:space="preserve"> </w:t>
      </w:r>
      <w:r>
        <w:t xml:space="preserve">a Monte Carlo Model Used for Simulating Tube Current Modulation in Computed Tomography</w:t>
      </w:r>
      <w:r>
        <w:t xml:space="preserve"> </w:t>
      </w:r>
      <w:r>
        <w:t xml:space="preserve">over a Wide Range of Phantom Conditions/Challenges.</w:t>
      </w:r>
      <w:r>
        <w:t xml:space="preserve"> </w:t>
      </w:r>
      <w:r>
        <w:rPr>
          <w:i/>
          <w:iCs/>
        </w:rPr>
        <w:t xml:space="preserve">Med. Phys.</w:t>
      </w:r>
      <w:r>
        <w:t xml:space="preserve"> </w:t>
      </w:r>
      <w:r>
        <w:rPr>
          <w:b/>
          <w:bCs/>
        </w:rPr>
        <w:t xml:space="preserve">2014</w:t>
      </w:r>
      <w:r>
        <w:t xml:space="preserve">,</w:t>
      </w:r>
      <w:r>
        <w:t xml:space="preserve"> </w:t>
      </w:r>
      <w:r>
        <w:rPr>
          <w:i/>
          <w:iCs/>
        </w:rPr>
        <w:t xml:space="preserve">41</w:t>
      </w:r>
      <w:r>
        <w:t xml:space="preserve">,</w:t>
      </w:r>
    </w:p>
    <w:p>
      <w:pPr>
        <w:pStyle w:val="Compact"/>
        <w:numPr>
          <w:ilvl w:val="1"/>
          <w:numId w:val="1003"/>
        </w:numPr>
      </w:pPr>
      <w:r>
        <w:t xml:space="preserve">https://doi.org/10.1118/1.4887807</w:t>
      </w:r>
    </w:p>
    <w:p>
      <w:pPr>
        <w:pStyle w:val="Compact"/>
        <w:numPr>
          <w:ilvl w:val="0"/>
          <w:numId w:val="1002"/>
        </w:numPr>
      </w:pPr>
      <w:r>
        <w:t xml:space="preserve">Bostani, M.; McMillan, K.; Lu, P.; Kim, G.H.J.; Cody, D.; Arbique, G.; Greenberg, S.B.;</w:t>
      </w:r>
      <w:r>
        <w:t xml:space="preserve"> </w:t>
      </w:r>
      <w:r>
        <w:t xml:space="preserve">DeMarco, J.J.; Cagnon, C.H.; McNitt-Gray, M.F. Estimating Organ Doses from Tube Current</w:t>
      </w:r>
      <w:r>
        <w:t xml:space="preserve"> </w:t>
      </w:r>
      <w:r>
        <w:t xml:space="preserve">Modulated CT Examinations Using a Generalized Linear Model.</w:t>
      </w:r>
      <w:r>
        <w:t xml:space="preserve"> </w:t>
      </w:r>
      <w:r>
        <w:rPr>
          <w:i/>
          <w:iCs/>
        </w:rPr>
        <w:t xml:space="preserve">Med. Phys.</w:t>
      </w:r>
      <w:r>
        <w:t xml:space="preserve"> </w:t>
      </w:r>
      <w:r>
        <w:rPr>
          <w:b/>
          <w:bCs/>
        </w:rPr>
        <w:t xml:space="preserve">2017</w:t>
      </w:r>
      <w:r>
        <w:t xml:space="preserve">,</w:t>
      </w:r>
      <w:r>
        <w:t xml:space="preserve"> </w:t>
      </w:r>
      <w:r>
        <w:rPr>
          <w:i/>
          <w:iCs/>
        </w:rPr>
        <w:t xml:space="preserve">44</w:t>
      </w:r>
      <w:r>
        <w:t xml:space="preserve">,</w:t>
      </w:r>
      <w:r>
        <w:t xml:space="preserve"> </w:t>
      </w:r>
      <w:r>
        <w:t xml:space="preserve">1500–1513. https://doi.org/10.1002/mp.12119</w:t>
      </w:r>
    </w:p>
    <w:p>
      <w:pPr>
        <w:pStyle w:val="Compact"/>
        <w:numPr>
          <w:ilvl w:val="0"/>
          <w:numId w:val="1002"/>
        </w:numPr>
      </w:pPr>
      <w:r>
        <w:t xml:space="preserve">McMillan, K.; Bostani, M.; Cagnon, C.H.; Yu, L.; Leng, S.; McCollough, C.H.;</w:t>
      </w:r>
      <w:r>
        <w:t xml:space="preserve"> </w:t>
      </w:r>
      <w:r>
        <w:t xml:space="preserve">McNitt-Gray, M.F. Estimating Patient Dose from CT Exams That Use Automatic Exposure</w:t>
      </w:r>
      <w:r>
        <w:t xml:space="preserve"> </w:t>
      </w:r>
      <w:r>
        <w:t xml:space="preserve">Control: Development and Validation of Methods to Accurately Estimate Tube Current</w:t>
      </w:r>
      <w:r>
        <w:t xml:space="preserve"> </w:t>
      </w:r>
      <w:r>
        <w:t xml:space="preserve">Values.</w:t>
      </w:r>
      <w:r>
        <w:t xml:space="preserve"> </w:t>
      </w:r>
      <w:r>
        <w:rPr>
          <w:i/>
          <w:iCs/>
        </w:rPr>
        <w:t xml:space="preserve">Med. Phys.</w:t>
      </w:r>
      <w:r>
        <w:t xml:space="preserve"> </w:t>
      </w:r>
      <w:r>
        <w:rPr>
          <w:b/>
          <w:bCs/>
        </w:rPr>
        <w:t xml:space="preserve">2017</w:t>
      </w:r>
      <w:r>
        <w:t xml:space="preserve">,</w:t>
      </w:r>
      <w:r>
        <w:t xml:space="preserve"> </w:t>
      </w:r>
      <w:r>
        <w:rPr>
          <w:i/>
          <w:iCs/>
        </w:rPr>
        <w:t xml:space="preserve">44</w:t>
      </w:r>
      <w:r>
        <w:t xml:space="preserve">, 4262–4275. https://doi.org/10.1002/mp.12314</w:t>
      </w:r>
    </w:p>
    <w:p>
      <w:pPr>
        <w:pStyle w:val="Compact"/>
        <w:numPr>
          <w:ilvl w:val="0"/>
          <w:numId w:val="1002"/>
        </w:numPr>
      </w:pPr>
      <w:r>
        <w:t xml:space="preserve">Wasserthal, J.; Breit, H.-C.; Meyer, M.T.; Pradella, M.; Hinck, D.; Sauter, A.W.; Heye,</w:t>
      </w:r>
      <w:r>
        <w:t xml:space="preserve"> </w:t>
      </w:r>
      <w:r>
        <w:t xml:space="preserve">T.; Boll, D.T.; Cyriac, J.; Yang, S.; Bach, M.; Segeroth, M. TotalSegmentator: Robust</w:t>
      </w:r>
      <w:r>
        <w:t xml:space="preserve"> </w:t>
      </w:r>
      <w:r>
        <w:t xml:space="preserve">Segmentation of 104 Anatomic Structures in CT Images.</w:t>
      </w:r>
      <w:r>
        <w:t xml:space="preserve"> </w:t>
      </w:r>
      <w:r>
        <w:rPr>
          <w:i/>
          <w:iCs/>
        </w:rPr>
        <w:t xml:space="preserve">Radiol. Artif. Intell.</w:t>
      </w:r>
      <w:r>
        <w:t xml:space="preserve"> </w:t>
      </w:r>
      <w:r>
        <w:rPr>
          <w:b/>
          <w:bCs/>
        </w:rPr>
        <w:t xml:space="preserve">2023</w:t>
      </w:r>
      <w:r>
        <w:t xml:space="preserve">,</w:t>
      </w:r>
      <w:r>
        <w:t xml:space="preserve"> </w:t>
      </w:r>
      <w:r>
        <w:rPr>
          <w:i/>
          <w:iCs/>
        </w:rPr>
        <w:t xml:space="preserve">5</w:t>
      </w:r>
      <w:r>
        <w:t xml:space="preserve">, e230024. https://doi.org/10.1148/ryai.230024</w:t>
      </w:r>
    </w:p>
    <w:p>
      <w:pPr>
        <w:pStyle w:val="Compact"/>
        <w:numPr>
          <w:ilvl w:val="0"/>
          <w:numId w:val="1002"/>
        </w:numPr>
      </w:pPr>
      <w:r>
        <w:t xml:space="preserve">Isensee, F.; Jaeger, P.F.; Kohl, S.A.A.; Petersen, J.; Maier-Hein, K.H. nnU-Net: A</w:t>
      </w:r>
      <w:r>
        <w:t xml:space="preserve"> </w:t>
      </w:r>
      <w:r>
        <w:t xml:space="preserve">Self-Configuring Method for Deep Learning-Based Biomedical Image Segmentation.</w:t>
      </w:r>
      <w:r>
        <w:t xml:space="preserve"> </w:t>
      </w:r>
      <w:r>
        <w:rPr>
          <w:i/>
          <w:iCs/>
        </w:rPr>
        <w:t xml:space="preserve">Nat.</w:t>
      </w:r>
      <w:r>
        <w:rPr>
          <w:i/>
          <w:iCs/>
        </w:rPr>
        <w:t xml:space="preserve"> </w:t>
      </w:r>
      <w:r>
        <w:rPr>
          <w:i/>
          <w:iCs/>
        </w:rPr>
        <w:t xml:space="preserve">Methods</w:t>
      </w:r>
      <w:r>
        <w:t xml:space="preserve"> </w:t>
      </w:r>
      <w:r>
        <w:rPr>
          <w:b/>
          <w:bCs/>
        </w:rPr>
        <w:t xml:space="preserve">2021</w:t>
      </w:r>
      <w:r>
        <w:t xml:space="preserve">,</w:t>
      </w:r>
      <w:r>
        <w:t xml:space="preserve"> </w:t>
      </w:r>
      <w:r>
        <w:rPr>
          <w:i/>
          <w:iCs/>
        </w:rPr>
        <w:t xml:space="preserve">18</w:t>
      </w:r>
      <w:r>
        <w:t xml:space="preserve">, 203–211. https://doi.org/10.1038/s41592-020-01008-z</w:t>
      </w:r>
    </w:p>
    <w:p>
      <w:pPr>
        <w:pStyle w:val="Compact"/>
        <w:numPr>
          <w:ilvl w:val="0"/>
          <w:numId w:val="1002"/>
        </w:numPr>
      </w:pPr>
      <w:r>
        <w:t xml:space="preserve">Turner, A.C.; Zhang, D.; Khatonabadi, M.; Zankl, M.; DeMarco, J.J.; Cagnon, C.H.; Cody,</w:t>
      </w:r>
      <w:r>
        <w:t xml:space="preserve"> </w:t>
      </w:r>
      <w:r>
        <w:t xml:space="preserve">D.D.; Stevens, D.M.; McCollough, C.H.; McNitt-Gray, M.F. The Feasibility of Patient</w:t>
      </w:r>
      <w:r>
        <w:t xml:space="preserve"> </w:t>
      </w:r>
      <w:r>
        <w:t xml:space="preserve">Size-Corrected, Scanner-Independent Organ Dose Estimates for Abdominal CT Exams.</w:t>
      </w:r>
      <w:r>
        <w:t xml:space="preserve"> </w:t>
      </w:r>
      <w:r>
        <w:rPr>
          <w:i/>
          <w:iCs/>
        </w:rPr>
        <w:t xml:space="preserve">Med.</w:t>
      </w:r>
      <w:r>
        <w:rPr>
          <w:i/>
          <w:iCs/>
        </w:rPr>
        <w:t xml:space="preserve"> </w:t>
      </w:r>
      <w:r>
        <w:rPr>
          <w:i/>
          <w:iCs/>
        </w:rPr>
        <w:t xml:space="preserve">Phys.</w:t>
      </w:r>
      <w:r>
        <w:t xml:space="preserve"> </w:t>
      </w:r>
      <w:r>
        <w:rPr>
          <w:b/>
          <w:bCs/>
        </w:rPr>
        <w:t xml:space="preserve">2011</w:t>
      </w:r>
      <w:r>
        <w:t xml:space="preserve">,</w:t>
      </w:r>
      <w:r>
        <w:t xml:space="preserve"> </w:t>
      </w:r>
      <w:r>
        <w:rPr>
          <w:i/>
          <w:iCs/>
        </w:rPr>
        <w:t xml:space="preserve">38</w:t>
      </w:r>
      <w:r>
        <w:t xml:space="preserve">, 820–829. https://doi.org/10.1118/1.3533897</w:t>
      </w:r>
    </w:p>
    <w:p>
      <w:pPr>
        <w:pStyle w:val="Compact"/>
        <w:numPr>
          <w:ilvl w:val="0"/>
          <w:numId w:val="1002"/>
        </w:numPr>
      </w:pPr>
      <w:r>
        <w:t xml:space="preserve">Tian, X.; Li, X.; Segars, W.P.; Frush, D.P.; Paulson, E.K.; Samei, E. Dose Coefficients</w:t>
      </w:r>
      <w:r>
        <w:t xml:space="preserve"> </w:t>
      </w:r>
      <w:r>
        <w:t xml:space="preserve">in Pediatric and Adult Abdominopelvic CT Based on 100 Patient Models.</w:t>
      </w:r>
      <w:r>
        <w:t xml:space="preserve"> </w:t>
      </w:r>
      <w:r>
        <w:rPr>
          <w:i/>
          <w:iCs/>
        </w:rPr>
        <w:t xml:space="preserve">Phys. Med.</w:t>
      </w:r>
      <w:r>
        <w:rPr>
          <w:i/>
          <w:iCs/>
        </w:rPr>
        <w:t xml:space="preserve"> </w:t>
      </w:r>
      <w:r>
        <w:rPr>
          <w:i/>
          <w:iCs/>
        </w:rPr>
        <w:t xml:space="preserve">Biol.</w:t>
      </w:r>
      <w:r>
        <w:t xml:space="preserve"> </w:t>
      </w:r>
      <w:r>
        <w:rPr>
          <w:b/>
          <w:bCs/>
        </w:rPr>
        <w:t xml:space="preserve">2013</w:t>
      </w:r>
      <w:r>
        <w:t xml:space="preserve">,</w:t>
      </w:r>
      <w:r>
        <w:t xml:space="preserve"> </w:t>
      </w:r>
      <w:r>
        <w:rPr>
          <w:i/>
          <w:iCs/>
        </w:rPr>
        <w:t xml:space="preserve">58</w:t>
      </w:r>
      <w:r>
        <w:t xml:space="preserve">, 8755–8768. https://doi.org/10.1088/0031-9155/58/24/8755</w:t>
      </w:r>
    </w:p>
    <w:p>
      <w:pPr>
        <w:pStyle w:val="Compact"/>
        <w:numPr>
          <w:ilvl w:val="0"/>
          <w:numId w:val="1002"/>
        </w:numPr>
      </w:pPr>
      <w:r>
        <w:t xml:space="preserve">Sahbaee, P.; Segars, W.P.; Samei, E. Patient-Based Estimation of Organ Dose for a</w:t>
      </w:r>
      <w:r>
        <w:t xml:space="preserve"> </w:t>
      </w:r>
      <w:r>
        <w:t xml:space="preserve">Population of 58 Adult Patients across 13 Protocol Categories.</w:t>
      </w:r>
      <w:r>
        <w:t xml:space="preserve"> </w:t>
      </w:r>
      <w:r>
        <w:rPr>
          <w:i/>
          <w:iCs/>
        </w:rPr>
        <w:t xml:space="preserve">Med. Phys.</w:t>
      </w:r>
      <w:r>
        <w:t xml:space="preserve"> </w:t>
      </w:r>
      <w:r>
        <w:rPr>
          <w:b/>
          <w:bCs/>
        </w:rPr>
        <w:t xml:space="preserve">2014</w:t>
      </w:r>
      <w:r>
        <w:t xml:space="preserve">,</w:t>
      </w:r>
      <w:r>
        <w:t xml:space="preserve"> </w:t>
      </w:r>
      <w:r>
        <w:rPr>
          <w:i/>
          <w:iCs/>
        </w:rPr>
        <w:t xml:space="preserve">41</w:t>
      </w:r>
      <w:r>
        <w:t xml:space="preserve">, 072104. https://doi.org/10.1118/1.4883778</w:t>
      </w:r>
    </w:p>
    <w:p>
      <w:pPr>
        <w:pStyle w:val="Compact"/>
        <w:numPr>
          <w:ilvl w:val="0"/>
          <w:numId w:val="1002"/>
        </w:numPr>
      </w:pPr>
      <w:r>
        <w:t xml:space="preserve">ICRP. Basic Anatomical and Physiological Data for Use in Radiological Protection:</w:t>
      </w:r>
      <w:r>
        <w:t xml:space="preserve"> </w:t>
      </w:r>
      <w:r>
        <w:t xml:space="preserve">Reference Values. ICRP Publication 89.</w:t>
      </w:r>
      <w:r>
        <w:t xml:space="preserve"> </w:t>
      </w:r>
      <w:r>
        <w:rPr>
          <w:i/>
          <w:iCs/>
        </w:rPr>
        <w:t xml:space="preserve">Ann. ICRP</w:t>
      </w:r>
      <w:r>
        <w:t xml:space="preserve"> </w:t>
      </w:r>
      <w:r>
        <w:rPr>
          <w:b/>
          <w:bCs/>
        </w:rPr>
        <w:t xml:space="preserve">2002</w:t>
      </w:r>
      <w:r>
        <w:t xml:space="preserve">,</w:t>
      </w:r>
      <w:r>
        <w:t xml:space="preserve"> </w:t>
      </w:r>
      <w:r>
        <w:rPr>
          <w:i/>
          <w:iCs/>
        </w:rPr>
        <w:t xml:space="preserve">32</w:t>
      </w:r>
      <w:r>
        <w:t xml:space="preserve"> </w:t>
      </w:r>
      <w:r>
        <w:t xml:space="preserve">(3–4).</w:t>
      </w:r>
    </w:p>
    <w:p>
      <w:pPr>
        <w:pStyle w:val="Compact"/>
        <w:numPr>
          <w:ilvl w:val="0"/>
          <w:numId w:val="1002"/>
        </w:numPr>
      </w:pPr>
      <w:r>
        <w:t xml:space="preserve">Dinwiddie, L.E.; Baggett, J.M.; Kofler, J.M.; et al. Survey of Normalized CTDIvol</w:t>
      </w:r>
      <w:r>
        <w:t xml:space="preserve"> </w:t>
      </w:r>
      <w:r>
        <w:t xml:space="preserve">Values Across Four Major Computed Tomography Vendors for Use in the MIRDct Software.</w:t>
      </w:r>
      <w:r>
        <w:t xml:space="preserve"> </w:t>
      </w:r>
      <w:r>
        <w:rPr>
          <w:i/>
          <w:iCs/>
        </w:rPr>
        <w:t xml:space="preserve">J. Appl. Clin. Med. Phys.</w:t>
      </w:r>
      <w:r>
        <w:t xml:space="preserve"> </w:t>
      </w:r>
      <w:r>
        <w:rPr>
          <w:b/>
          <w:bCs/>
        </w:rPr>
        <w:t xml:space="preserve">2026</w:t>
      </w:r>
      <w:r>
        <w:t xml:space="preserve">,</w:t>
      </w:r>
      <w:r>
        <w:t xml:space="preserve"> </w:t>
      </w:r>
      <w:r>
        <w:rPr>
          <w:i/>
          <w:iCs/>
        </w:rPr>
        <w:t xml:space="preserve">27</w:t>
      </w:r>
      <w:r>
        <w:t xml:space="preserve">, e70473. https://doi.org/10.1002/acm2.70473</w:t>
      </w:r>
    </w:p>
    <w:p>
      <w:pPr>
        <w:pStyle w:val="Compact"/>
        <w:numPr>
          <w:ilvl w:val="0"/>
          <w:numId w:val="1002"/>
        </w:numPr>
      </w:pPr>
      <w:r>
        <w:t xml:space="preserve">Yamamoto, S. ctdose-core: open, auditable CT dose surveillance from DICOM, with a</w:t>
      </w:r>
      <w:r>
        <w:t xml:space="preserve"> </w:t>
      </w:r>
      <w:r>
        <w:t xml:space="preserve">physics reconstruction when the dose attributes are missing (Version 0.1.1)</w:t>
      </w:r>
      <w:r>
        <w:t xml:space="preserve"> </w:t>
      </w:r>
      <w:r>
        <w:t xml:space="preserve">[Software]. Zenodo,</w:t>
      </w:r>
      <w:r>
        <w:t xml:space="preserve"> </w:t>
      </w:r>
      <w:r>
        <w:rPr>
          <w:b/>
          <w:bCs/>
        </w:rPr>
        <w:t xml:space="preserve">2026</w:t>
      </w:r>
      <w:r>
        <w:t xml:space="preserve">. https://doi.org/10.5281/zenodo.21636082</w:t>
      </w:r>
    </w:p>
    <w:p>
      <w:pPr>
        <w:pStyle w:val="Compact"/>
        <w:numPr>
          <w:ilvl w:val="0"/>
          <w:numId w:val="1002"/>
        </w:numPr>
      </w:pPr>
      <w:r>
        <w:t xml:space="preserve">McCollough, C.; Bakalyar, D.M.; Bostani, M.; Brady, S.; Boedeker, K.; Boone, J.M.;</w:t>
      </w:r>
      <w:r>
        <w:t xml:space="preserve"> </w:t>
      </w:r>
      <w:r>
        <w:t xml:space="preserve">Chen-Mayer, H.H.; Christianson, O.I.; Leng, S.; Li, B.; et al. Use of Water Equivalent</w:t>
      </w:r>
      <w:r>
        <w:t xml:space="preserve"> </w:t>
      </w:r>
      <w:r>
        <w:t xml:space="preserve">Diameter for Calculating Patient Size and Size-Specific Dose Estimates (SSDE) in CT:</w:t>
      </w:r>
      <w:r>
        <w:t xml:space="preserve"> </w:t>
      </w:r>
      <w:r>
        <w:t xml:space="preserve">The Report of AAPM Task Group 220.</w:t>
      </w:r>
      <w:r>
        <w:t xml:space="preserve"> </w:t>
      </w:r>
      <w:r>
        <w:rPr>
          <w:i/>
          <w:iCs/>
        </w:rPr>
        <w:t xml:space="preserve">AAPM Report No. 220</w:t>
      </w:r>
      <w:r>
        <w:t xml:space="preserve">,</w:t>
      </w:r>
      <w:r>
        <w:t xml:space="preserve"> </w:t>
      </w:r>
      <w:r>
        <w:rPr>
          <w:b/>
          <w:bCs/>
        </w:rPr>
        <w:t xml:space="preserve">2014</w:t>
      </w:r>
      <w:r>
        <w:t xml:space="preserve">.</w:t>
      </w:r>
      <w:r>
        <w:t xml:space="preserve"> </w:t>
      </w:r>
      <w:r>
        <w:t xml:space="preserve">https://doi.org/10.37206/146</w:t>
      </w:r>
    </w:p>
    <w:p>
      <w:pPr>
        <w:pStyle w:val="Compact"/>
        <w:numPr>
          <w:ilvl w:val="0"/>
          <w:numId w:val="1002"/>
        </w:numPr>
      </w:pPr>
      <w:r>
        <w:t xml:space="preserve">ICRU. Tissue Substitutes in Radiation Dosimetry and Measurement. ICRU Report 44; ICRU:</w:t>
      </w:r>
      <w:r>
        <w:t xml:space="preserve"> </w:t>
      </w:r>
      <w:r>
        <w:t xml:space="preserve">Bethesda, MD, USA,</w:t>
      </w:r>
      <w:r>
        <w:t xml:space="preserve"> </w:t>
      </w:r>
      <w:r>
        <w:rPr>
          <w:b/>
          <w:bCs/>
        </w:rPr>
        <w:t xml:space="preserve">1989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Schneider, U.; Pedroni, E.; Lomax, A. The Calibration of CT Hounsfield Units for</w:t>
      </w:r>
      <w:r>
        <w:t xml:space="preserve"> </w:t>
      </w:r>
      <w:r>
        <w:t xml:space="preserve">Radiotherapy Treatment Planning.</w:t>
      </w:r>
      <w:r>
        <w:t xml:space="preserve"> </w:t>
      </w:r>
      <w:r>
        <w:rPr>
          <w:i/>
          <w:iCs/>
        </w:rPr>
        <w:t xml:space="preserve">Phys. Med. Biol.</w:t>
      </w:r>
      <w:r>
        <w:t xml:space="preserve"> </w:t>
      </w:r>
      <w:r>
        <w:rPr>
          <w:b/>
          <w:bCs/>
        </w:rPr>
        <w:t xml:space="preserve">1996</w:t>
      </w:r>
      <w:r>
        <w:t xml:space="preserve">,</w:t>
      </w:r>
      <w:r>
        <w:t xml:space="preserve"> </w:t>
      </w:r>
      <w:r>
        <w:rPr>
          <w:i/>
          <w:iCs/>
        </w:rPr>
        <w:t xml:space="preserve">41</w:t>
      </w:r>
      <w:r>
        <w:t xml:space="preserve">, 111–124.</w:t>
      </w:r>
      <w:r>
        <w:t xml:space="preserve"> </w:t>
      </w:r>
      <w:r>
        <w:t xml:space="preserve">https://doi.org/10.1088/0031-9155/41/1/009</w:t>
      </w:r>
    </w:p>
    <w:p>
      <w:pPr>
        <w:pStyle w:val="Compact"/>
        <w:numPr>
          <w:ilvl w:val="0"/>
          <w:numId w:val="1002"/>
        </w:numPr>
      </w:pPr>
      <w:r>
        <w:t xml:space="preserve">Clark, K.; Vendt, B.; Smith, K.; Freymann, J.; Kirby, J.; Koppel, P.; Moore, S.;</w:t>
      </w:r>
      <w:r>
        <w:t xml:space="preserve"> </w:t>
      </w:r>
      <w:r>
        <w:t xml:space="preserve">Phillips, S.; Maffitt, D.; Pringle, M.; Tarbox, L.; Prior, F. The Cancer Imaging</w:t>
      </w:r>
      <w:r>
        <w:t xml:space="preserve"> </w:t>
      </w:r>
      <w:r>
        <w:t xml:space="preserve">Archive (TCIA): Maintaining and Operating a Public Information Repository.</w:t>
      </w:r>
      <w:r>
        <w:t xml:space="preserve"> </w:t>
      </w:r>
      <w:r>
        <w:rPr>
          <w:i/>
          <w:iCs/>
        </w:rPr>
        <w:t xml:space="preserve">J. Digit.</w:t>
      </w:r>
      <w:r>
        <w:rPr>
          <w:i/>
          <w:iCs/>
        </w:rPr>
        <w:t xml:space="preserve"> </w:t>
      </w:r>
      <w:r>
        <w:rPr>
          <w:i/>
          <w:iCs/>
        </w:rPr>
        <w:t xml:space="preserve">Imaging</w:t>
      </w:r>
      <w:r>
        <w:t xml:space="preserve"> </w:t>
      </w:r>
      <w:r>
        <w:rPr>
          <w:b/>
          <w:bCs/>
        </w:rPr>
        <w:t xml:space="preserve">2013</w:t>
      </w:r>
      <w:r>
        <w:t xml:space="preserve">,</w:t>
      </w:r>
      <w:r>
        <w:t xml:space="preserve"> </w:t>
      </w:r>
      <w:r>
        <w:rPr>
          <w:i/>
          <w:iCs/>
        </w:rPr>
        <w:t xml:space="preserve">26</w:t>
      </w:r>
      <w:r>
        <w:t xml:space="preserve">, 1045–1057. https://doi.org/10.1007/s10278-013-9622-7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2101">
    <w:nsid w:val="A9941112101"/>
    <w:multiLevelType w:val="multilevel"/>
    <w:lvl w:ilvl="0">
      <w:start w:val="112101"/>
      <w:numFmt w:val="decimal"/>
      <w:lvlText w:val="%1."/>
      <w:lvlJc w:val="left"/>
      <w:pPr>
        <w:ind w:left="720" w:hanging="360"/>
      </w:pPr>
    </w:lvl>
    <w:lvl w:ilvl="1">
      <w:start w:val="112101"/>
      <w:numFmt w:val="decimal"/>
      <w:lvlText w:val="%2."/>
      <w:lvlJc w:val="left"/>
      <w:pPr>
        <w:ind w:left="1440" w:hanging="360"/>
      </w:pPr>
    </w:lvl>
    <w:lvl w:ilvl="2">
      <w:start w:val="112101"/>
      <w:numFmt w:val="decimal"/>
      <w:lvlText w:val="%3."/>
      <w:lvlJc w:val="left"/>
      <w:pPr>
        <w:ind w:left="2160" w:hanging="360"/>
      </w:pPr>
    </w:lvl>
    <w:lvl w:ilvl="3">
      <w:start w:val="112101"/>
      <w:numFmt w:val="decimal"/>
      <w:lvlText w:val="%4."/>
      <w:lvlJc w:val="left"/>
      <w:pPr>
        <w:ind w:left="2880" w:hanging="360"/>
      </w:pPr>
    </w:lvl>
    <w:lvl w:ilvl="4">
      <w:start w:val="112101"/>
      <w:numFmt w:val="decimal"/>
      <w:lvlText w:val="%5."/>
      <w:lvlJc w:val="left"/>
      <w:pPr>
        <w:ind w:left="3600" w:hanging="360"/>
      </w:pPr>
    </w:lvl>
    <w:lvl w:ilvl="5">
      <w:start w:val="112101"/>
      <w:numFmt w:val="decimal"/>
      <w:lvlText w:val="%6."/>
      <w:lvlJc w:val="left"/>
      <w:pPr>
        <w:ind w:left="4320" w:hanging="360"/>
      </w:pPr>
    </w:lvl>
    <w:lvl w:ilvl="6">
      <w:start w:val="112101"/>
      <w:numFmt w:val="decimal"/>
      <w:lvlText w:val="%7."/>
      <w:lvlJc w:val="left"/>
      <w:pPr>
        <w:ind w:left="5040" w:hanging="360"/>
      </w:pPr>
    </w:lvl>
    <w:lvl w:ilvl="7">
      <w:start w:val="112101"/>
      <w:numFmt w:val="decimal"/>
      <w:lvlText w:val="%8."/>
      <w:lvlJc w:val="left"/>
      <w:pPr>
        <w:ind w:left="5760" w:hanging="360"/>
      </w:pPr>
    </w:lvl>
    <w:lvl w:ilvl="8">
      <w:start w:val="11210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12101"/>
    <w:lvlOverride w:ilvl="0">
      <w:startOverride w:val="112101"/>
    </w:lvlOverride>
    <w:lvlOverride w:ilvl="1">
      <w:startOverride w:val="112101"/>
    </w:lvlOverride>
    <w:lvlOverride w:ilvl="2">
      <w:startOverride w:val="112101"/>
    </w:lvlOverride>
    <w:lvlOverride w:ilvl="3">
      <w:startOverride w:val="112101"/>
    </w:lvlOverride>
    <w:lvlOverride w:ilvl="4">
      <w:startOverride w:val="112101"/>
    </w:lvlOverride>
    <w:lvlOverride w:ilvl="5">
      <w:startOverride w:val="112101"/>
    </w:lvlOverride>
    <w:lvlOverride w:ilvl="6">
      <w:startOverride w:val="112101"/>
    </w:lvlOverride>
    <w:lvlOverride w:ilvl="7">
      <w:startOverride w:val="112101"/>
    </w:lvlOverride>
    <w:lvlOverride w:ilvl="8">
      <w:startOverride w:val="11210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2026-08-06T02:49:13Z</dcterms:created>
  <dcterms:modified xsi:type="dcterms:W3CDTF">2026-08-06T02:49:13Z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