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X8262add42ea8d56622f6b373f153214da92c143"/>
    <w:p>
      <w:pPr>
        <w:pStyle w:val="Heading1"/>
      </w:pPr>
      <w:r>
        <w:t xml:space="preserve">Anatomy-Weighted CTDIvol from Routine CT Metadata: A Patient-Specific, Multi-Vendor Study Using Deep-Learning Segmentation</w:t>
      </w:r>
    </w:p>
    <w:p>
      <w:pPr>
        <w:pStyle w:val="FirstParagraph"/>
      </w:pPr>
      <w:r>
        <w:rPr>
          <w:b/>
          <w:bCs/>
        </w:rPr>
        <w:t xml:space="preserve">Shuji Yamamoto</w:t>
      </w:r>
    </w:p>
    <w:p>
      <w:pPr>
        <w:pStyle w:val="BodyText"/>
      </w:pPr>
      <w:r>
        <w:t xml:space="preserve">Institute of One, LISIT Co., Ltd., Tokyo, Japan; yamamoto@lisit.jp; ORCID 0000-0001-9211-1071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yamamoto@lisit.jp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CTDIvol is a scanner-output index, not a patient or organ dose, and cannot express how</w:t>
      </w:r>
      <w:r>
        <w:t xml:space="preserve"> </w:t>
      </w:r>
      <w:r>
        <w:t xml:space="preserve">tube-current modulation varies along a patient. We derived an anatomy-weighted CTDIvol</w:t>
      </w:r>
      <w:r>
        <w:t xml:space="preserve"> </w:t>
      </w:r>
      <w:r>
        <w:t xml:space="preserve">index from routine DICOM metadata and automated organ segmentation; it characterises</w:t>
      </w:r>
      <w:r>
        <w:t xml:space="preserve"> </w:t>
      </w:r>
      <w:r>
        <w:t xml:space="preserve">organ-specific longitudinal tube-current modulation and is not an estimate of absorbed</w:t>
      </w:r>
      <w:r>
        <w:t xml:space="preserve"> </w:t>
      </w:r>
      <w:r>
        <w:t xml:space="preserve">organ dose. Forty abdominal CT series, ten per manufacturer, were drawn from The Cancer</w:t>
      </w:r>
      <w:r>
        <w:t xml:space="preserve"> </w:t>
      </w:r>
      <w:r>
        <w:t xml:space="preserve">Imaging Archive, and twelve organs segmented with TotalSegmentator at inference only. Of</w:t>
      </w:r>
      <w:r>
        <w:t xml:space="preserve"> </w:t>
      </w:r>
      <w:r>
        <w:t xml:space="preserve">480 requested organ–series combinations, 455 were produced; the remaining 25 organs lay</w:t>
      </w:r>
      <w:r>
        <w:t xml:space="preserve"> </w:t>
      </w:r>
      <w:r>
        <w:t xml:space="preserve">outside the scanned range. A prespecified acquisition-constancy criterion admitted 39 of</w:t>
      </w:r>
      <w:r>
        <w:t xml:space="preserve"> </w:t>
      </w:r>
      <w:r>
        <w:t xml:space="preserve">the 40 series to the quantitative modulation analysis. Modulation weights spanned 0.59 to</w:t>
      </w:r>
      <w:r>
        <w:t xml:space="preserve"> </w:t>
      </w:r>
      <w:r>
        <w:t xml:space="preserve">1.69, so the index departs from the whole-scan CTDIvol by up to 70% within one</w:t>
      </w:r>
      <w:r>
        <w:t xml:space="preserve"> </w:t>
      </w:r>
      <w:r>
        <w:t xml:space="preserve">acquisition. A recorded CTDIvol was retained in the archived headers of 29 of 40 series,</w:t>
      </w:r>
      <w:r>
        <w:t xml:space="preserve"> </w:t>
      </w:r>
      <w:r>
        <w:t xml:space="preserve">was reconstructable in 5 and unavailable in 6, differing markedly between manufacturers in</w:t>
      </w:r>
      <w:r>
        <w:t xml:space="preserve"> </w:t>
      </w:r>
      <w:r>
        <w:t xml:space="preserve">this sample. Estimated organ mass was broadly consistent with ICRP 89 values for liver and</w:t>
      </w:r>
      <w:r>
        <w:t xml:space="preserve"> </w:t>
      </w:r>
      <w:r>
        <w:t xml:space="preserve">kidneys; pancreas and spleen offsets were explored rather than corrected. Conversion to</w:t>
      </w:r>
      <w:r>
        <w:t xml:space="preserve"> </w:t>
      </w:r>
      <w:r>
        <w:t xml:space="preserve">absorbed organ dose requires Monte-Carlo coefficients this index does not replace. The</w:t>
      </w:r>
      <w:r>
        <w:t xml:space="preserve"> </w:t>
      </w:r>
      <w:r>
        <w:t xml:space="preserve">implementation and derived records are openly available.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computed tomography; CTDIvol; tube-current modulation; deep-learning</w:t>
      </w:r>
      <w:r>
        <w:t xml:space="preserve"> </w:t>
      </w:r>
      <w:r>
        <w:t xml:space="preserve">segmentation; TotalSegmentator; image-based dosimetry indices; reproducibility; open data</w: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Two different things are routinely conflated when CT dose is discussed. The first is that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dose index</w:t>
      </w:r>
      <w:r>
        <w:t xml:space="preserve"> </w:t>
      </w:r>
      <w:r>
        <w:t xml:space="preserve">is not a</w:t>
      </w:r>
      <w:r>
        <w:t xml:space="preserve"> </w:t>
      </w:r>
      <w:r>
        <w:rPr>
          <w:i/>
          <w:iCs/>
        </w:rPr>
        <w:t xml:space="preserve">dose</w:t>
      </w:r>
      <w:r>
        <w:t xml:space="preserve">: CTDIvol describes the output of a scanner into a standard</w:t>
      </w:r>
      <w:r>
        <w:t xml:space="preserve"> </w:t>
      </w:r>
      <w:r>
        <w:t xml:space="preserve">cylinder of acrylic, and is a property of the acquisition rather than of the patient in</w:t>
      </w:r>
      <w:r>
        <w:t xml:space="preserve"> </w:t>
      </w:r>
      <w:r>
        <w:t xml:space="preserve">it. The second is that a single value per series cannot express variation along the</w:t>
      </w:r>
      <w:r>
        <w:t xml:space="preserve"> </w:t>
      </w:r>
      <w:r>
        <w:t xml:space="preserve">patient: almost every modern acquisition modulates the tube current longitudinally, so</w:t>
      </w:r>
      <w:r>
        <w:t xml:space="preserve"> </w:t>
      </w:r>
      <w:r>
        <w:t xml:space="preserve">the exposure conditions over the liver and over the bladder are not the same, and one</w:t>
      </w:r>
      <w:r>
        <w:t xml:space="preserve"> </w:t>
      </w:r>
      <w:r>
        <w:t xml:space="preserve">number for the series conceals that.</w:t>
      </w:r>
    </w:p>
    <w:p>
      <w:pPr>
        <w:pStyle w:val="BodyText"/>
      </w:pPr>
      <w:r>
        <w:t xml:space="preserve">The information needed to describe the second is already in the file. The per-slice tube</w:t>
      </w:r>
      <w:r>
        <w:t xml:space="preserve"> </w:t>
      </w:r>
      <w:r>
        <w:t xml:space="preserve">current is written into the image header as X-Ray Tube Current (0018,1151). What has been</w:t>
      </w:r>
      <w:r>
        <w:t xml:space="preserve"> </w:t>
      </w:r>
      <w:r>
        <w:t xml:space="preserve">missing is not the exposure record but the anatomy: to weight the recorded current by an</w:t>
      </w:r>
      <w:r>
        <w:t xml:space="preserve"> </w:t>
      </w:r>
      <w:r>
        <w:t xml:space="preserve">organ’s own longitudinal extent, one must know where that organ lies, slice by slice, in</w:t>
      </w:r>
      <w:r>
        <w:t xml:space="preserve"> </w:t>
      </w:r>
      <w:r>
        <w:t xml:space="preserve">that patient. Manual contouring of a dose-relevant organ set across a multi-vendor cohort</w:t>
      </w:r>
      <w:r>
        <w:t xml:space="preserve"> </w:t>
      </w:r>
      <w:r>
        <w:t xml:space="preserve">has never been practical at scale.</w:t>
      </w:r>
    </w:p>
    <w:p>
      <w:pPr>
        <w:pStyle w:val="BodyText"/>
      </w:pPr>
      <w:r>
        <w:t xml:space="preserve">Deep-learning segmentation removes that obstacle. A general-purpose segmenter such as</w:t>
      </w:r>
      <w:r>
        <w:t xml:space="preserve"> </w:t>
      </w:r>
      <w:r>
        <w:t xml:space="preserve">TotalSegmentator [1] produces abdominal organ masks from a routine series in seconds on a</w:t>
      </w:r>
      <w:r>
        <w:t xml:space="preserve"> </w:t>
      </w:r>
      <w:r>
        <w:t xml:space="preserve">consumer GPU, at inference only. The anatomy is now effectively free.</w:t>
      </w:r>
    </w:p>
    <w:p>
      <w:pPr>
        <w:pStyle w:val="BodyText"/>
      </w:pPr>
      <w:r>
        <w:t xml:space="preserve">This study therefore constructs an</w:t>
      </w:r>
      <w:r>
        <w:t xml:space="preserve"> </w:t>
      </w:r>
      <w:r>
        <w:rPr>
          <w:b/>
          <w:bCs/>
        </w:rPr>
        <w:t xml:space="preserve">anatomy-weighted CTDIvol index</w:t>
      </w:r>
      <w:r>
        <w:t xml:space="preserve">: the whole-scan</w:t>
      </w:r>
      <w:r>
        <w:t xml:space="preserve"> </w:t>
      </w:r>
      <w:r>
        <w:t xml:space="preserve">CTDIvol scaled by a dimensionless, organ-specific weight formed from the recorded</w:t>
      </w:r>
      <w:r>
        <w:t xml:space="preserve"> </w:t>
      </w:r>
      <w:r>
        <w:t xml:space="preserve">per-slice tube current over that organ’s segmented longitudinal extent. The index</w:t>
      </w:r>
      <w:r>
        <w:t xml:space="preserve"> </w:t>
      </w:r>
      <w:r>
        <w:t xml:space="preserve">quantifies organ-specific longitudinal modulation relative to the whole-scan value. It is</w:t>
      </w:r>
      <w:r>
        <w:t xml:space="preserve"> </w:t>
      </w:r>
      <w:r>
        <w:t xml:space="preserve">explicitly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an estimate of absorbed organ dose, and Section 2.9 sets out what it does</w:t>
      </w:r>
      <w:r>
        <w:t xml:space="preserve"> </w:t>
      </w:r>
      <w:r>
        <w:t xml:space="preserve">not account for.</w:t>
      </w:r>
    </w:p>
    <w:p>
      <w:pPr>
        <w:pStyle w:val="BodyText"/>
      </w:pPr>
      <w:r>
        <w:t xml:space="preserve">Converting an index of this kind into an absorbed organ dose in milligray requires</w:t>
      </w:r>
      <w:r>
        <w:t xml:space="preserve"> </w:t>
      </w:r>
      <w:r>
        <w:t xml:space="preserve">CTDIvol-normalised organ-dose coefficients, computed by Monte-Carlo simulation over</w:t>
      </w:r>
      <w:r>
        <w:t xml:space="preserve"> </w:t>
      </w:r>
      <w:r>
        <w:t xml:space="preserve">anthropomorphic phantoms and corrected for patient size [2,3]. Such coefficient sets</w:t>
      </w:r>
      <w:r>
        <w:t xml:space="preserve"> </w:t>
      </w:r>
      <w:r>
        <w:t xml:space="preserve">exist, are well validated, and are in routine use; the index reported here does not</w:t>
      </w:r>
      <w:r>
        <w:t xml:space="preserve"> </w:t>
      </w:r>
      <w:r>
        <w:t xml:space="preserve">replace them and is not offered as a surrogate for their output.</w:t>
      </w:r>
    </w:p>
    <w:p>
      <w:pPr>
        <w:pStyle w:val="BodyText"/>
      </w:pPr>
      <w:r>
        <w:t xml:space="preserve">The contributions are:</w:t>
      </w:r>
    </w:p>
    <w:p>
      <w:pPr>
        <w:pStyle w:val="Compact"/>
        <w:numPr>
          <w:ilvl w:val="0"/>
          <w:numId w:val="1001"/>
        </w:numPr>
      </w:pPr>
      <w:r>
        <w:t xml:space="preserve">An anatomy-weighted CTDIvol index computed entirely from data a scanner already</w:t>
      </w:r>
      <w:r>
        <w:t xml:space="preserve"> </w:t>
      </w:r>
      <w:r>
        <w:t xml:space="preserve">records, implemented as an openly licensed, provenance-carrying engine.</w:t>
      </w:r>
    </w:p>
    <w:p>
      <w:pPr>
        <w:pStyle w:val="Compact"/>
        <w:numPr>
          <w:ilvl w:val="0"/>
          <w:numId w:val="1001"/>
        </w:numPr>
      </w:pPr>
      <w:r>
        <w:t xml:space="preserve">A quantification of organ-specific longitudinal modulation across four manufacturers,</w:t>
      </w:r>
      <w:r>
        <w:t xml:space="preserve"> </w:t>
      </w:r>
      <w:r>
        <w:t xml:space="preserve">including its range within single acquisitions.</w:t>
      </w:r>
    </w:p>
    <w:p>
      <w:pPr>
        <w:pStyle w:val="Compact"/>
        <w:numPr>
          <w:ilvl w:val="0"/>
          <w:numId w:val="1001"/>
        </w:numPr>
      </w:pPr>
      <w:r>
        <w:t xml:space="preserve">A description, for this archive sample, of how often the required inputs are actually</w:t>
      </w:r>
      <w:r>
        <w:t xml:space="preserve"> </w:t>
      </w:r>
      <w:r>
        <w:t xml:space="preserve">retained in archived DICOM headers.</w:t>
      </w:r>
    </w:p>
    <w:p>
      <w:pPr>
        <w:pStyle w:val="Compact"/>
        <w:numPr>
          <w:ilvl w:val="0"/>
          <w:numId w:val="1001"/>
        </w:numPr>
      </w:pPr>
      <w:r>
        <w:t xml:space="preserve">An external reference comparison of attenuation-derived estimated organ mass against</w:t>
      </w:r>
      <w:r>
        <w:t xml:space="preserve"> </w:t>
      </w:r>
      <w:r>
        <w:t xml:space="preserve">ICRP 89 reference values [5].</w:t>
      </w:r>
    </w:p>
    <w:p>
      <w:pPr>
        <w:pStyle w:val="Compact"/>
        <w:numPr>
          <w:ilvl w:val="0"/>
          <w:numId w:val="1001"/>
        </w:numPr>
      </w:pPr>
      <w:r>
        <w:t xml:space="preserve">The practical limits an organ-level modulation analysis must handle: organ truncation</w:t>
      </w:r>
      <w:r>
        <w:t xml:space="preserve"> </w:t>
      </w:r>
      <w:r>
        <w:t xml:space="preserve">at the scan boundary, and acquisitions whose modulation does not vary across the</w:t>
      </w:r>
      <w:r>
        <w:t xml:space="preserve"> </w:t>
      </w:r>
      <w:r>
        <w:t xml:space="preserve">abdomen.</w:t>
      </w:r>
    </w:p>
    <w:bookmarkEnd w:id="10"/>
    <w:bookmarkStart w:id="22" w:name="materials-and-methods"/>
    <w:p>
      <w:pPr>
        <w:pStyle w:val="Heading2"/>
      </w:pPr>
      <w:r>
        <w:t xml:space="preserve">2. Materials and Methods</w:t>
      </w:r>
    </w:p>
    <w:bookmarkStart w:id="11" w:name="data-selection-without-bulk-download"/>
    <w:p>
      <w:pPr>
        <w:pStyle w:val="Heading3"/>
      </w:pPr>
      <w:r>
        <w:t xml:space="preserve">2.1. Data Selection Without Bulk Download</w:t>
      </w:r>
    </w:p>
    <w:p>
      <w:pPr>
        <w:pStyle w:val="FirstParagraph"/>
      </w:pPr>
      <w:r>
        <w:t xml:space="preserve">Handing a collection manifest to a bulk downloader fetches an entire collection, which for</w:t>
      </w:r>
      <w:r>
        <w:t xml:space="preserve"> </w:t>
      </w:r>
      <w:r>
        <w:t xml:space="preserve">the low-dose CT collection is of the order of 600 GB, most of it raw projection data</w:t>
      </w:r>
      <w:r>
        <w:t xml:space="preserve"> </w:t>
      </w:r>
      <w:r>
        <w:t xml:space="preserve">irrelevant to this work. We therefore used a metadata-first procedure over the public NBIA</w:t>
      </w:r>
      <w:r>
        <w:t xml:space="preserve"> </w:t>
      </w:r>
      <w:r>
        <w:t xml:space="preserve">REST API with four stages — index, screen, probe, download — in which only the last</w:t>
      </w:r>
      <w:r>
        <w:t xml:space="preserve"> </w:t>
      </w:r>
      <w:r>
        <w:t xml:space="preserve">transfers a series.</w:t>
      </w:r>
    </w:p>
    <w:p>
      <w:pPr>
        <w:pStyle w:val="BodyText"/>
      </w:pPr>
      <w:r>
        <w:t xml:space="preserve">The candidate index was built from 47,181 CT series across 21 abdominal collections, read</w:t>
      </w:r>
      <w:r>
        <w:t xml:space="preserve"> </w:t>
      </w:r>
      <w:r>
        <w:t xml:space="preserve">as series-level JSON with no pixel data. Candidates were seeded from the public-archive</w:t>
      </w:r>
      <w:r>
        <w:t xml:space="preserve"> </w:t>
      </w:r>
      <w:r>
        <w:t xml:space="preserve">survey distributed with the companion software release [6] — a software record, not a</w:t>
      </w:r>
      <w:r>
        <w:t xml:space="preserve"> </w:t>
      </w:r>
      <w:r>
        <w:t xml:space="preserve">peer-reviewed study — and supplemented by direct collection queries. A metadata screen then rejected, in order and with each rejection</w:t>
      </w:r>
      <w:r>
        <w:t xml:space="preserve"> </w:t>
      </w:r>
      <w:r>
        <w:t xml:space="preserve">counted: non-patient collections (imaging phantoms and de-identification benchmarks);</w:t>
      </w:r>
      <w:r>
        <w:t xml:space="preserve"> </w:t>
      </w:r>
      <w:r>
        <w:t xml:space="preserve">projection and raw-data series, of which 398 were refused at this stage; non-diagnostic</w:t>
      </w:r>
      <w:r>
        <w:t xml:space="preserve"> </w:t>
      </w:r>
      <w:r>
        <w:t xml:space="preserve">series (localisers, dose reports, screen captures); series shorter than 40 or longer than</w:t>
      </w:r>
      <w:r>
        <w:t xml:space="preserve"> </w:t>
      </w:r>
      <w:r>
        <w:t xml:space="preserve">1200 images; and series outside the abdomen. One series was retained per patient per</w:t>
      </w:r>
      <w:r>
        <w:t xml:space="preserve"> </w:t>
      </w:r>
      <w:r>
        <w:t xml:space="preserve">collection, and each manufacturer’s quota was drawn round-robin across its collections so</w:t>
      </w:r>
      <w:r>
        <w:t xml:space="preserve"> </w:t>
      </w:r>
      <w:r>
        <w:t xml:space="preserve">that manufacturer was not confounded with a single collection.</w:t>
      </w:r>
    </w:p>
    <w:bookmarkEnd w:id="11"/>
    <w:bookmarkStart w:id="12" w:name="inclusion-criteria-and-header-probing"/>
    <w:p>
      <w:pPr>
        <w:pStyle w:val="Heading3"/>
      </w:pPr>
      <w:r>
        <w:t xml:space="preserve">2.2. Inclusion Criteria and Header Probing</w:t>
      </w:r>
    </w:p>
    <w:p>
      <w:pPr>
        <w:pStyle w:val="FirstParagraph"/>
      </w:pPr>
      <w:r>
        <w:t xml:space="preserve">Sixty-two surviving candidates were probed by fetching six image headers each and judged</w:t>
      </w:r>
      <w:r>
        <w:t xml:space="preserve"> </w:t>
      </w:r>
      <w:r>
        <w:t xml:space="preserve">on four requirements: per-slice tube current present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probed slice; that current</w:t>
      </w:r>
      <w:r>
        <w:t xml:space="preserve"> </w:t>
      </w:r>
      <w:r>
        <w:t xml:space="preserve">genuinely modulated (peak-to-peak over mean at least 0.02, so header rounding is not</w:t>
      </w:r>
      <w:r>
        <w:t xml:space="preserve"> </w:t>
      </w:r>
      <w:r>
        <w:t xml:space="preserve">mistaken for modulation); a defined Hounsfield rescale; and a reconstructed-image SOP</w:t>
      </w:r>
      <w:r>
        <w:t xml:space="preserve"> </w:t>
      </w:r>
      <w:r>
        <w:t xml:space="preserve">class with at least 40 slices spanning at least 120 mm. Forty series were kept, ten per</w:t>
      </w:r>
      <w:r>
        <w:t xml:space="preserve"> </w:t>
      </w:r>
      <w:r>
        <w:t xml:space="preserve">manufacturer.</w:t>
      </w:r>
    </w:p>
    <w:p>
      <w:pPr>
        <w:pStyle w:val="BodyText"/>
      </w:pPr>
      <w:r>
        <w:t xml:space="preserve">No imaging is redistributed. Each retained series is identified in the shipped provenance</w:t>
      </w:r>
      <w:r>
        <w:t xml:space="preserve"> </w:t>
      </w:r>
      <w:r>
        <w:t xml:space="preserve">record by collection, collection DOI, Series Instance UID, manufacturer, model, licence</w:t>
      </w:r>
      <w:r>
        <w:t xml:space="preserve"> </w:t>
      </w:r>
      <w:r>
        <w:t xml:space="preserve">and retrieval date. All forty series were retrieved under Creative Commons Attribution</w:t>
      </w:r>
      <w:r>
        <w:t xml:space="preserve"> </w:t>
      </w:r>
      <w:r>
        <w:t xml:space="preserve">licences — 33 under CC BY 4.0 and 7 under CC BY 3.0, as recorded per series in</w:t>
      </w:r>
      <w:r>
        <w:t xml:space="preserve"> </w:t>
      </w:r>
      <w:r>
        <w:rPr>
          <w:rStyle w:val="VerbatimChar"/>
        </w:rPr>
        <w:t xml:space="preserve">data/PROVENANCE.json</w:t>
      </w:r>
      <w:r>
        <w:t xml:space="preserve">; users must in every case observe the licence terms of the</w:t>
      </w:r>
      <w:r>
        <w:t xml:space="preserve"> </w:t>
      </w:r>
      <w:r>
        <w:t xml:space="preserve">originating collection and the TCIA Data Usage Policy.</w:t>
      </w:r>
    </w:p>
    <w:bookmarkEnd w:id="12"/>
    <w:bookmarkStart w:id="13" w:name="resolving-the-slice-grid"/>
    <w:p>
      <w:pPr>
        <w:pStyle w:val="Heading3"/>
      </w:pPr>
      <w:r>
        <w:t xml:space="preserve">2.3. Resolving the Slice Grid</w:t>
      </w:r>
    </w:p>
    <w:p>
      <w:pPr>
        <w:pStyle w:val="FirstParagraph"/>
      </w:pPr>
      <w:r>
        <w:t xml:space="preserve">Organ volume is a voxel count multiplied by a voxel volume, so slice spacing multiplies</w:t>
      </w:r>
      <w:r>
        <w:t xml:space="preserve"> </w:t>
      </w:r>
      <w:r>
        <w:t xml:space="preserve">every volume and every mass estimate. Two properties of archived series make the obvious</w:t>
      </w:r>
      <w:r>
        <w:t xml:space="preserve"> </w:t>
      </w:r>
      <w:r>
        <w:t xml:space="preserve">calculation wrong, and both are silent.</w:t>
      </w:r>
    </w:p>
    <w:p>
      <w:pPr>
        <w:pStyle w:val="BodyText"/>
      </w:pPr>
      <w:r>
        <w:t xml:space="preserve">First, the file count is not always the position count. One series in this cohort contains</w:t>
      </w:r>
      <w:r>
        <w:t xml:space="preserve"> </w:t>
      </w:r>
      <w:r>
        <w:t xml:space="preserve">160 images at 119 distinct longitudinal positions; taking the spacing as the extent</w:t>
      </w:r>
      <w:r>
        <w:t xml:space="preserve"> </w:t>
      </w:r>
      <w:r>
        <w:t xml:space="preserve">divided by the number of images gives 3.71 mm where the true spacing is 5.0 mm, and</w:t>
      </w:r>
      <w:r>
        <w:t xml:space="preserve"> </w:t>
      </w:r>
      <w:r>
        <w:t xml:space="preserve">stacking the duplicated images repeats anatomy so that organs occupy more slices than they</w:t>
      </w:r>
      <w:r>
        <w:t xml:space="preserve"> </w:t>
      </w:r>
      <w:r>
        <w:t xml:space="preserve">physically do. We therefore resolve the grid explicitly: one image per position, spacing</w:t>
      </w:r>
      <w:r>
        <w:t xml:space="preserve"> </w:t>
      </w:r>
      <w:r>
        <w:t xml:space="preserve">from the median step between neighbouring positions, and a uniformity check that refuses a</w:t>
      </w:r>
      <w:r>
        <w:t xml:space="preserve"> </w:t>
      </w:r>
      <w:r>
        <w:t xml:space="preserve">series whose steps vary by more than 2%. Two series proved to be a pair of reconstructions</w:t>
      </w:r>
      <w:r>
        <w:t xml:space="preserve"> </w:t>
      </w:r>
      <w:r>
        <w:t xml:space="preserve">interleaved under a single Series Instance UID; for these the largest regular sub-grid was</w:t>
      </w:r>
      <w:r>
        <w:t xml:space="preserve"> </w:t>
      </w:r>
      <w:r>
        <w:t xml:space="preserve">taken, accepted only when it preserves the full longitudinal extent.</w:t>
      </w:r>
    </w:p>
    <w:p>
      <w:pPr>
        <w:pStyle w:val="BodyText"/>
      </w:pPr>
      <w:r>
        <w:t xml:space="preserve">Second, the ordering of the slice axis is not guaranteed. Slice Location (0020,1041) runs</w:t>
      </w:r>
      <w:r>
        <w:t xml:space="preserve"> </w:t>
      </w:r>
      <w:r>
        <w:t xml:space="preserve">opposite in sign to Image Position (Patient) on three of the four manufacturers in this</w:t>
      </w:r>
      <w:r>
        <w:t xml:space="preserve"> </w:t>
      </w:r>
      <w:r>
        <w:t xml:space="preserve">sample, so a series sorted by the former arrives head-first. The segmentation is</w:t>
      </w:r>
      <w:r>
        <w:t xml:space="preserve"> </w:t>
      </w:r>
      <w:r>
        <w:t xml:space="preserve">unaffected, because the geometry handed to the segmenter is built from patient</w:t>
      </w:r>
      <w:r>
        <w:t xml:space="preserve"> </w:t>
      </w:r>
      <w:r>
        <w:t xml:space="preserve">coordinates; but the array index ceases to mean</w:t>
      </w:r>
      <w:r>
        <w:t xml:space="preserve"> </w:t>
      </w:r>
      <w:r>
        <w:t xml:space="preserve">“towards the head”</w:t>
      </w:r>
      <w:r>
        <w:t xml:space="preserve">, which reverses every</w:t>
      </w:r>
      <w:r>
        <w:t xml:space="preserve"> </w:t>
      </w:r>
      <w:r>
        <w:t xml:space="preserve">reported organ extent. Volumes are therefore canonicalised so that index zero is the most</w:t>
      </w:r>
      <w:r>
        <w:t xml:space="preserve"> </w:t>
      </w:r>
      <w:r>
        <w:t xml:space="preserve">inferior slice, with the tube current reordered alongside, since</w:t>
      </w:r>
      <w:r>
        <w:t xml:space="preserve"> </w:t>
      </w:r>
      <w:r>
        <w:rPr>
          <w:i/>
          <w:iCs/>
        </w:rPr>
        <w:t xml:space="preserve">I(z)</w:t>
      </w:r>
      <w:r>
        <w:t xml:space="preserve"> </w:t>
      </w:r>
      <w:r>
        <w:t xml:space="preserve">is paired to the</w:t>
      </w:r>
      <w:r>
        <w:t xml:space="preserve"> </w:t>
      </w:r>
      <w:r>
        <w:t xml:space="preserve">slice axis by index.</w:t>
      </w:r>
    </w:p>
    <w:bookmarkEnd w:id="13"/>
    <w:bookmarkStart w:id="14" w:name="reading-hounsfield-units"/>
    <w:p>
      <w:pPr>
        <w:pStyle w:val="Heading3"/>
      </w:pPr>
      <w:r>
        <w:t xml:space="preserve">2.4. Reading Hounsfield Units</w:t>
      </w:r>
    </w:p>
    <w:p>
      <w:pPr>
        <w:pStyle w:val="FirstParagraph"/>
      </w:pPr>
      <w:r>
        <w:t xml:space="preserve">Outside the reconstruction circle an image carries a padding value rather than a</w:t>
      </w:r>
      <w:r>
        <w:t xml:space="preserve"> </w:t>
      </w:r>
      <w:r>
        <w:t xml:space="preserve">measurement, and that value must be replaced with air before anything is measured. Pixel</w:t>
      </w:r>
      <w:r>
        <w:t xml:space="preserve"> </w:t>
      </w:r>
      <w:r>
        <w:t xml:space="preserve">Padding Value (0028,0120) has a value representation that depends on Pixel Representation,</w:t>
      </w:r>
      <w:r>
        <w:t xml:space="preserve"> </w:t>
      </w:r>
      <w:r>
        <w:t xml:space="preserve">and this is not reliably honoured: in this sample one export writes 63,536 with an</w:t>
      </w:r>
      <w:r>
        <w:t xml:space="preserve"> </w:t>
      </w:r>
      <w:r>
        <w:t xml:space="preserve">unsigned representation on signed pixel data, which is the two’s complement encoding of</w:t>
      </w:r>
      <w:r>
        <w:t xml:space="preserve"> </w:t>
      </w:r>
      <w:r>
        <w:t xml:space="preserve">the −2000 intended. Read literally, that places the padding threshold above every</w:t>
      </w:r>
      <w:r>
        <w:t xml:space="preserve"> </w:t>
      </w:r>
      <w:r>
        <w:t xml:space="preserve">Hounsfield value in the image, and the volume becomes uniform air. Four series were</w:t>
      </w:r>
      <w:r>
        <w:t xml:space="preserve"> </w:t>
      </w:r>
      <w:r>
        <w:t xml:space="preserve">affected, with no symptom other than a segmenter returning empty masks. We reinterpret the</w:t>
      </w:r>
      <w:r>
        <w:t xml:space="preserve"> </w:t>
      </w:r>
      <w:r>
        <w:t xml:space="preserve">padding value against Pixel Representation, and additionally refuse any padding rule that</w:t>
      </w:r>
      <w:r>
        <w:t xml:space="preserve"> </w:t>
      </w:r>
      <w:r>
        <w:t xml:space="preserve">would blank essentially the whole image.</w:t>
      </w:r>
    </w:p>
    <w:bookmarkEnd w:id="14"/>
    <w:bookmarkStart w:id="15" w:name="segmentation"/>
    <w:p>
      <w:pPr>
        <w:pStyle w:val="Heading3"/>
      </w:pPr>
      <w:r>
        <w:t xml:space="preserve">2.5. Segmentation</w:t>
      </w:r>
    </w:p>
    <w:p>
      <w:pPr>
        <w:pStyle w:val="FirstParagraph"/>
      </w:pPr>
      <w:r>
        <w:t xml:space="preserve">Twelve abdominal organs were segmented with TotalSegmentator v2.17 [1],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task, 1.5</w:t>
      </w:r>
      <w:r>
        <w:t xml:space="preserve"> </w:t>
      </w:r>
      <w:r>
        <w:t xml:space="preserve">mm full-resolution model, at inference only; no weights were trained, modified or</w:t>
      </w:r>
      <w:r>
        <w:t xml:space="preserve"> </w:t>
      </w:r>
      <w:r>
        <w:t xml:space="preserve">redistributed. Inference runs in a separate child process, because nnU-Net spawns its own</w:t>
      </w:r>
      <w:r>
        <w:t xml:space="preserve"> </w:t>
      </w:r>
      <w:r>
        <w:t xml:space="preserve">workers and doing so from a long-lived parent leaks processes on Windows.</w:t>
      </w:r>
    </w:p>
    <w:p>
      <w:pPr>
        <w:pStyle w:val="BodyText"/>
      </w:pPr>
      <w:r>
        <w:t xml:space="preserve">The series is written to NIfTI by our own code, with an affine constructed from the DICOM</w:t>
      </w:r>
      <w:r>
        <w:t xml:space="preserve"> </w:t>
      </w:r>
      <w:r>
        <w:t xml:space="preserve">patient coordinates, and the masks return on that same grid; the correspondence between</w:t>
      </w:r>
      <w:r>
        <w:t xml:space="preserve"> </w:t>
      </w:r>
      <w:r>
        <w:t xml:space="preserve">mask voxel and image voxel is therefore the identity by construction, and is asserted</w:t>
      </w:r>
      <w:r>
        <w:t xml:space="preserve"> </w:t>
      </w:r>
      <w:r>
        <w:t xml:space="preserve">rather than assumed. A mirrored segmentation would otherwise produce entirely plausible</w:t>
      </w:r>
      <w:r>
        <w:t xml:space="preserve"> </w:t>
      </w:r>
      <w:r>
        <w:t xml:space="preserve">volumes and Hounsfield values while pairing every organ with the wrong anatomy.</w:t>
      </w:r>
    </w:p>
    <w:p>
      <w:pPr>
        <w:pStyle w:val="BodyText"/>
      </w:pPr>
      <w:r>
        <w:t xml:space="preserve">The patient outline, used for the water-equivalent diameter, was taken from a</w:t>
      </w:r>
      <w:r>
        <w:t xml:space="preserve"> </w:t>
      </w:r>
      <w:r>
        <w:t xml:space="preserve">deterministic threshold contour following AAPM Report 220 [7]. Figure 1 illustrates the</w:t>
      </w:r>
      <w:r>
        <w:t xml:space="preserve"> </w:t>
      </w:r>
      <w:r>
        <w:t xml:space="preserve">segmentation output and its correspondence with the CT anatomy in the representative</w:t>
      </w:r>
      <w:r>
        <w:t xml:space="preserve"> </w:t>
      </w:r>
      <w:r>
        <w:t xml:space="preserve">acquisition used for the end-to-end example.</w:t>
      </w:r>
    </w:p>
    <w:bookmarkEnd w:id="15"/>
    <w:bookmarkStart w:id="16" w:name="attenuation-derived-estimated-organ-mass"/>
    <w:p>
      <w:pPr>
        <w:pStyle w:val="Heading3"/>
      </w:pPr>
      <w:r>
        <w:t xml:space="preserve">2.6. Attenuation-Derived Estimated Organ Mass</w:t>
      </w:r>
    </w:p>
    <w:p>
      <w:pPr>
        <w:pStyle w:val="FirstParagraph"/>
      </w:pPr>
      <w:r>
        <w:t xml:space="preserve">Hounsfield units were converted to mass density by piecewise-linear interpolation through</w:t>
      </w:r>
      <w:r>
        <w:t xml:space="preserve"> </w:t>
      </w:r>
      <w:r>
        <w:t xml:space="preserve">reference tissue anchor points, taking the densities from ICRU Report 44 [8] and the</w:t>
      </w:r>
      <w:r>
        <w:t xml:space="preserve"> </w:t>
      </w:r>
      <w:r>
        <w:t xml:space="preserve">construction from Schneider et al. [9]. Estimated organ mass is the sum of local density</w:t>
      </w:r>
      <w:r>
        <w:t xml:space="preserve"> </w:t>
      </w:r>
      <w:r>
        <w:t xml:space="preserve">over mask voxels multiplied by the voxel volume.</w:t>
      </w:r>
    </w:p>
    <w:p>
      <w:pPr>
        <w:pStyle w:val="BodyText"/>
      </w:pPr>
      <w:r>
        <w:t xml:space="preserve">These are</w:t>
      </w:r>
      <w:r>
        <w:t xml:space="preserve"> </w:t>
      </w:r>
      <w:r>
        <w:rPr>
          <w:b/>
          <w:bCs/>
        </w:rPr>
        <w:t xml:space="preserve">model-based estimates, not measurements</w:t>
      </w:r>
      <w:r>
        <w:t xml:space="preserve">. Contrast enhancement, tube voltage,</w:t>
      </w:r>
      <w:r>
        <w:t xml:space="preserve"> </w:t>
      </w:r>
      <w:r>
        <w:t xml:space="preserve">reconstruction kernel and scanner-specific HU calibration may all affect</w:t>
      </w:r>
      <w:r>
        <w:t xml:space="preserve"> </w:t>
      </w:r>
      <w:r>
        <w:t xml:space="preserve">attenuation-derived density estimates, and none was controlled in this archive cohort:</w:t>
      </w:r>
      <w:r>
        <w:t xml:space="preserve"> </w:t>
      </w:r>
      <w:r>
        <w:t xml:space="preserve">contrast phase in particular varies between and within collections. The reported masses</w:t>
      </w:r>
      <w:r>
        <w:t xml:space="preserve"> </w:t>
      </w:r>
      <w:r>
        <w:t xml:space="preserve">should therefore be interpreted as model-based estimates rather than physical ground</w:t>
      </w:r>
      <w:r>
        <w:t xml:space="preserve"> </w:t>
      </w:r>
      <w:r>
        <w:t xml:space="preserve">truth. The HU-to-density curve itself is replaceable and travels into the provenance of</w:t>
      </w:r>
      <w:r>
        <w:t xml:space="preserve"> </w:t>
      </w:r>
      <w:r>
        <w:t xml:space="preserve">every estimate; abdominal soft tissue is relatively insensitive to the choice, since</w:t>
      </w:r>
      <w:r>
        <w:t xml:space="preserve"> </w:t>
      </w:r>
      <w:r>
        <w:t xml:space="preserve">perturbing the water-to-muscle slope by 10% changes an abdominal organ-mass estimate by</w:t>
      </w:r>
      <w:r>
        <w:t xml:space="preserve"> </w:t>
      </w:r>
      <w:r>
        <w:t xml:space="preserve">less than 1%.</w:t>
      </w:r>
    </w:p>
    <w:bookmarkEnd w:id="16"/>
    <w:bookmarkStart w:id="17" w:name="the-anatomy-weighted-ctdivol-index"/>
    <w:p>
      <w:pPr>
        <w:pStyle w:val="Heading3"/>
      </w:pPr>
      <w:r>
        <w:t xml:space="preserve">2.7. The Anatomy-Weighted CTDIvol Index</w:t>
      </w:r>
    </w:p>
    <w:p>
      <w:pPr>
        <w:pStyle w:val="FirstParagraph"/>
      </w:pPr>
      <w:r>
        <w:t xml:space="preserve">For an organ</w:t>
      </w:r>
      <w:r>
        <w:t xml:space="preserve"> </w:t>
      </w:r>
      <w:r>
        <w:rPr>
          <w:i/>
          <w:iCs/>
        </w:rPr>
        <w:t xml:space="preserve">o</w:t>
      </w:r>
      <w:r>
        <w:t xml:space="preserve"> </w:t>
      </w:r>
      <w:r>
        <w:t xml:space="preserve">occupying slices with per-slice voxel counts</w:t>
      </w:r>
      <w:r>
        <w:t xml:space="preserve"> </w:t>
      </w:r>
      <w:r>
        <w:rPr>
          <w:i/>
          <w:iCs/>
        </w:rPr>
        <w:t xml:space="preserve">n_o(z)</w:t>
      </w:r>
      <w:r>
        <w:t xml:space="preserve">, and a series with</w:t>
      </w:r>
      <w:r>
        <w:t xml:space="preserve"> </w:t>
      </w:r>
      <w:r>
        <w:t xml:space="preserve">per-slice tube current</w:t>
      </w:r>
      <w:r>
        <w:t xml:space="preserve"> </w:t>
      </w:r>
      <w:r>
        <w:rPr>
          <w:i/>
          <w:iCs/>
        </w:rPr>
        <w:t xml:space="preserve">I(z)</w:t>
      </w:r>
      <w:r>
        <w:t xml:space="preserve">, the organ-specific modulation weight is</w:t>
      </w:r>
    </w:p>
    <w:p>
      <w:pPr>
        <w:pStyle w:val="BodyText"/>
      </w:pPr>
      <w:r>
        <w:rPr>
          <w:i/>
          <w:iCs/>
        </w:rPr>
        <w:t xml:space="preserve">w_o</w:t>
      </w:r>
      <w:r>
        <w:t xml:space="preserve"> </w:t>
      </w:r>
      <w:r>
        <w:t xml:space="preserve">= [ Σ_z</w:t>
      </w:r>
      <w:r>
        <w:t xml:space="preserve"> </w:t>
      </w:r>
      <w:r>
        <w:rPr>
          <w:i/>
          <w:iCs/>
        </w:rPr>
        <w:t xml:space="preserve">n_o(z) I(z)</w:t>
      </w:r>
      <w:r>
        <w:t xml:space="preserve"> </w:t>
      </w:r>
      <w:r>
        <w:t xml:space="preserve">/ Σ_z</w:t>
      </w:r>
      <w:r>
        <w:t xml:space="preserve"> </w:t>
      </w:r>
      <w:r>
        <w:rPr>
          <w:i/>
          <w:iCs/>
        </w:rPr>
        <w:t xml:space="preserve">n_o(z)</w:t>
      </w:r>
      <w:r>
        <w:t xml:space="preserve"> </w:t>
      </w:r>
      <w:r>
        <w:t xml:space="preserve">] / mean_z</w:t>
      </w:r>
      <w:r>
        <w:t xml:space="preserve"> </w:t>
      </w:r>
      <w:r>
        <w:rPr>
          <w:i/>
          <w:iCs/>
        </w:rPr>
        <w:t xml:space="preserve">I(z)</w:t>
      </w:r>
      <w:r>
        <w:t xml:space="preserve"> </w:t>
      </w:r>
      <w:r>
        <w:t xml:space="preserve">(1)</w:t>
      </w:r>
    </w:p>
    <w:p>
      <w:pPr>
        <w:pStyle w:val="BodyText"/>
      </w:pPr>
      <w:r>
        <w:t xml:space="preserve">and the anatomy-weighted CTDIvol index is CTDIvol ·</w:t>
      </w:r>
      <w:r>
        <w:t xml:space="preserve"> </w:t>
      </w:r>
      <w:r>
        <w:rPr>
          <w:i/>
          <w:iCs/>
        </w:rPr>
        <w:t xml:space="preserve">w_o</w:t>
      </w:r>
      <w:r>
        <w:t xml:space="preserve">. The weight is dimensionless and</w:t>
      </w:r>
      <w:r>
        <w:t xml:space="preserve"> </w:t>
      </w:r>
      <w:r>
        <w:t xml:space="preserve">is the transferable quantity: it expresses the recorded longitudinal tube-current</w:t>
      </w:r>
      <w:r>
        <w:t xml:space="preserve"> </w:t>
      </w:r>
      <w:r>
        <w:t xml:space="preserve">conditions over the organ relative to the scan mean, independently of the scanner’s own</w:t>
      </w:r>
      <w:r>
        <w:t xml:space="preserve"> </w:t>
      </w:r>
      <w:r>
        <w:t xml:space="preserve">output.</w:t>
      </w:r>
    </w:p>
    <w:p>
      <w:pPr>
        <w:pStyle w:val="BodyText"/>
      </w:pPr>
      <w:r>
        <w:t xml:space="preserve">The weighting assumes that, within each series, tube voltage, rotation or exposure time,</w:t>
      </w:r>
      <w:r>
        <w:t xml:space="preserve"> </w:t>
      </w:r>
      <w:r>
        <w:t xml:space="preserve">pitch and beam collimation remain fixed, so that longitudinal changes in scanner output</w:t>
      </w:r>
      <w:r>
        <w:t xml:space="preserve"> </w:t>
      </w:r>
      <w:r>
        <w:t xml:space="preserve">are proportional to the recorded tube current.</w:t>
      </w:r>
    </w:p>
    <w:bookmarkEnd w:id="17"/>
    <w:bookmarkStart w:id="18" w:name="the-acquisition-constancy-criterion"/>
    <w:p>
      <w:pPr>
        <w:pStyle w:val="Heading3"/>
      </w:pPr>
      <w:r>
        <w:t xml:space="preserve">2.8. The Acquisition-Constancy Criterion</w:t>
      </w:r>
    </w:p>
    <w:p>
      <w:pPr>
        <w:pStyle w:val="FirstParagraph"/>
      </w:pPr>
      <w:r>
        <w:t xml:space="preserve">Rather than assume that assumption, we stated it as an eligibility rule in advance and</w:t>
      </w:r>
      <w:r>
        <w:t xml:space="preserve"> </w:t>
      </w:r>
      <w:r>
        <w:t xml:space="preserve">applied it mechanically:</w:t>
      </w:r>
    </w:p>
    <w:p>
      <w:pPr>
        <w:pStyle w:val="BlockText"/>
      </w:pPr>
      <w:r>
        <w:t xml:space="preserve">A series is eligible for quantitative anatomy-weighted CTDIvol analysis only when the</w:t>
      </w:r>
      <w:r>
        <w:t xml:space="preserve"> </w:t>
      </w:r>
      <w:r>
        <w:t xml:space="preserve">acquisition parameters required for scanner output to remain proportional to the</w:t>
      </w:r>
      <w:r>
        <w:t xml:space="preserve"> </w:t>
      </w:r>
      <w:r>
        <w:t xml:space="preserve">recorded tube current are constant within that series, to the extent verifiable from the</w:t>
      </w:r>
      <w:r>
        <w:t xml:space="preserve"> </w:t>
      </w:r>
      <w:r>
        <w:t xml:space="preserve">archived DICOM headers.</w:t>
      </w:r>
    </w:p>
    <w:p>
      <w:pPr>
        <w:pStyle w:val="FirstParagraph"/>
      </w:pPr>
      <w:r>
        <w:t xml:space="preserve">Every slice header of every series was read and each output-governing attribute — tube</w:t>
      </w:r>
      <w:r>
        <w:t xml:space="preserve"> </w:t>
      </w:r>
      <w:r>
        <w:t xml:space="preserve">voltage, exposure time, rotation time, pitch and total collimation width — classified into</w:t>
      </w:r>
      <w:r>
        <w:t xml:space="preserve"> </w:t>
      </w:r>
      <w:r>
        <w:t xml:space="preserve">one of four states.</w:t>
      </w:r>
      <w:r>
        <w:t xml:space="preserve"> </w:t>
      </w:r>
      <w:r>
        <w:rPr>
          <w:i/>
          <w:iCs/>
        </w:rPr>
        <w:t xml:space="preserve">Verified constant</w:t>
      </w:r>
      <w:r>
        <w:t xml:space="preserve">: one value throughout.</w:t>
      </w:r>
      <w:r>
        <w:t xml:space="preserve"> </w:t>
      </w:r>
      <w:r>
        <w:rPr>
          <w:i/>
          <w:iCs/>
        </w:rPr>
        <w:t xml:space="preserve">Absent</w:t>
      </w:r>
      <w:r>
        <w:t xml:space="preserve">: never written to</w:t>
      </w:r>
      <w:r>
        <w:t xml:space="preserve"> </w:t>
      </w:r>
      <w:r>
        <w:t xml:space="preserve">the archived headers, so constancy can be neither confirmed nor refuted; absence alone</w:t>
      </w:r>
      <w:r>
        <w:t xml:space="preserve"> </w:t>
      </w:r>
      <w:r>
        <w:t xml:space="preserve">does not disqualify a series, since excluding on it would remove series for a property of</w:t>
      </w:r>
      <w:r>
        <w:t xml:space="preserve"> </w:t>
      </w:r>
      <w:r>
        <w:t xml:space="preserve">the de-identified export rather than of the acquisition.</w:t>
      </w:r>
      <w:r>
        <w:t xml:space="preserve"> </w:t>
      </w:r>
      <w:r>
        <w:rPr>
          <w:i/>
          <w:iCs/>
        </w:rPr>
        <w:t xml:space="preserve">Negligible variation</w:t>
      </w:r>
      <w:r>
        <w:t xml:space="preserve">: varying</w:t>
      </w:r>
      <w:r>
        <w:t xml:space="preserve"> </w:t>
      </w:r>
      <w:r>
        <w:t xml:space="preserve">by less than a relative tolerance of 0.02, attributable to the numeric representation —</w:t>
      </w:r>
      <w:r>
        <w:t xml:space="preserve"> </w:t>
      </w:r>
      <w:r>
        <w:t xml:space="preserve">exposure time is written as an integer number of milliseconds, so a one-unit step on a</w:t>
      </w:r>
      <w:r>
        <w:t xml:space="preserve"> </w:t>
      </w:r>
      <w:r>
        <w:t xml:space="preserve">value of a few hundred is a rounding artefact.</w:t>
      </w:r>
      <w:r>
        <w:t xml:space="preserve"> </w:t>
      </w:r>
      <w:r>
        <w:rPr>
          <w:i/>
          <w:iCs/>
        </w:rPr>
        <w:t xml:space="preserve">Materially variable</w:t>
      </w:r>
      <w:r>
        <w:t xml:space="preserve">: varying by at least</w:t>
      </w:r>
      <w:r>
        <w:t xml:space="preserve"> </w:t>
      </w:r>
      <w:r>
        <w:t xml:space="preserve">that tolerance, which disqualifies the series. The tolerance is not fitted to these data:</w:t>
      </w:r>
      <w:r>
        <w:t xml:space="preserve"> </w:t>
      </w:r>
      <w:r>
        <w:t xml:space="preserve">any value between roughly 1% and 50% classifies this cohort identically, because the only</w:t>
      </w:r>
      <w:r>
        <w:t xml:space="preserve"> </w:t>
      </w:r>
      <w:r>
        <w:t xml:space="preserve">material variation observed is a factor of two.</w:t>
      </w:r>
    </w:p>
    <w:p>
      <w:pPr>
        <w:pStyle w:val="BodyText"/>
      </w:pPr>
      <w:r>
        <w:t xml:space="preserve">Tube voltage was verified constant in all 40 series, as were Image Type and convolution</w:t>
      </w:r>
      <w:r>
        <w:t xml:space="preserve"> </w:t>
      </w:r>
      <w:r>
        <w:t xml:space="preserve">kernel, so no series mixes acquisition or reconstruction types. Exposure time was verified</w:t>
      </w:r>
      <w:r>
        <w:t xml:space="preserve"> </w:t>
      </w:r>
      <w:r>
        <w:t xml:space="preserve">constant in 35 series, negligibly variable in 3, materially variable in 1 and absent in 1;</w:t>
      </w:r>
      <w:r>
        <w:t xml:space="preserve"> </w:t>
      </w:r>
      <w:r>
        <w:t xml:space="preserve">rotation time verified constant in 20, materially variable in 1 and absent in 19; pitch</w:t>
      </w:r>
      <w:r>
        <w:t xml:space="preserve"> </w:t>
      </w:r>
      <w:r>
        <w:t xml:space="preserve">verified constant in 32 and absent in 8; total collimation width verified constant in 31</w:t>
      </w:r>
      <w:r>
        <w:t xml:space="preserve"> </w:t>
      </w:r>
      <w:r>
        <w:t xml:space="preserve">and absent in 9. The full record is shipped as</w:t>
      </w:r>
      <w:r>
        <w:t xml:space="preserve"> </w:t>
      </w:r>
      <w:r>
        <w:rPr>
          <w:rStyle w:val="VerbatimChar"/>
        </w:rPr>
        <w:t xml:space="preserve">results/acquisition_constancy.json</w:t>
      </w:r>
      <w:r>
        <w:t xml:space="preserve"> </w:t>
      </w:r>
      <w:r>
        <w:t xml:space="preserve">and</w:t>
      </w:r>
      <w:r>
        <w:t xml:space="preserve"> </w:t>
      </w:r>
      <w:r>
        <w:t xml:space="preserve">the eligibility decision for every series in</w:t>
      </w:r>
      <w:r>
        <w:t xml:space="preserve"> </w:t>
      </w:r>
      <w:r>
        <w:rPr>
          <w:rStyle w:val="VerbatimChar"/>
        </w:rPr>
        <w:t xml:space="preserve">results/analysis_1.5mm.json</w:t>
      </w:r>
      <w:r>
        <w:t xml:space="preserve">.</w:t>
      </w:r>
    </w:p>
    <w:p>
      <w:pPr>
        <w:pStyle w:val="BodyText"/>
      </w:pPr>
      <w:r>
        <w:t xml:space="preserve">Series failing the criterion are retained for the archive-availability, segmentation,</w:t>
      </w:r>
      <w:r>
        <w:t xml:space="preserve"> </w:t>
      </w:r>
      <w:r>
        <w:t xml:space="preserve">estimated-mass and provenance analyses, and excluded only from quantitative</w:t>
      </w:r>
      <w:r>
        <w:t xml:space="preserve"> </w:t>
      </w:r>
      <w:r>
        <w:t xml:space="preserve">modulation-weight and anatomy-weighted-index summaries.</w:t>
      </w:r>
    </w:p>
    <w:p>
      <w:pPr>
        <w:pStyle w:val="BodyText"/>
      </w:pPr>
      <w:r>
        <w:t xml:space="preserve">CTDIvol was taken from the image header (0018,9345) where present. Where absent, it was</w:t>
      </w:r>
      <w:r>
        <w:t xml:space="preserve"> </w:t>
      </w:r>
      <w:r>
        <w:t xml:space="preserve">reconstructed from acquisition physics against an openly licensed normalised-CTDI database</w:t>
      </w:r>
      <w:r>
        <w:t xml:space="preserve"> </w:t>
      </w:r>
      <w:r>
        <w:t xml:space="preserve">[4]; recorded and reconstructed values are never merged, and each series records which it</w:t>
      </w:r>
      <w:r>
        <w:t xml:space="preserve"> </w:t>
      </w:r>
      <w:r>
        <w:t xml:space="preserve">carries. A recorded value outside the physically possible range is treated as a corrupt</w:t>
      </w:r>
      <w:r>
        <w:t xml:space="preserve"> </w:t>
      </w:r>
      <w:r>
        <w:t xml:space="preserve">attribute and falls through to reconstruction — one series records CTDIvol as</w:t>
      </w:r>
      <w:r>
        <w:t xml:space="preserve"> </w:t>
      </w:r>
      <w:r>
        <w:t xml:space="preserve">−3.7 × 10^19 mGy.</w:t>
      </w:r>
    </w:p>
    <w:p>
      <w:pPr>
        <w:pStyle w:val="BodyText"/>
      </w:pPr>
      <w:r>
        <w:t xml:space="preserve">An organ whose mask reaches the first or last slice of the series continues beyond the</w:t>
      </w:r>
      <w:r>
        <w:t xml:space="preserve"> </w:t>
      </w:r>
      <w:r>
        <w:t xml:space="preserve">scan; its estimated mass is that of the scanned part and its weight describes only the</w:t>
      </w:r>
      <w:r>
        <w:t xml:space="preserve"> </w:t>
      </w:r>
      <w:r>
        <w:t xml:space="preserve">exposed part. Such organs are flagged and excluded from whole-organ comparisons.</w:t>
      </w:r>
    </w:p>
    <w:bookmarkEnd w:id="18"/>
    <w:bookmarkStart w:id="19" w:name="organ-record-flow"/>
    <w:p>
      <w:pPr>
        <w:pStyle w:val="Heading3"/>
      </w:pPr>
      <w:r>
        <w:t xml:space="preserve">2.9. Organ Record Flow</w:t>
      </w:r>
    </w:p>
    <w:p>
      <w:pPr>
        <w:pStyle w:val="FirstParagraph"/>
      </w:pPr>
      <w:r>
        <w:t xml:space="preserve">Forty series and twelve requested organs give 480 organ–series combinations. Records were</w:t>
      </w:r>
      <w:r>
        <w:t xml:space="preserve"> </w:t>
      </w:r>
      <w:r>
        <w:t xml:space="preserve">produced for 455. The remaining 25 are organs that lay outside the scanned longitudinal</w:t>
      </w:r>
      <w:r>
        <w:t xml:space="preserve"> </w:t>
      </w:r>
      <w:r>
        <w:t xml:space="preserve">range, so their masks were empty and no record exists: urinary bladder in 10 series,</w:t>
      </w:r>
      <w:r>
        <w:t xml:space="preserve"> </w:t>
      </w:r>
      <w:r>
        <w:t xml:space="preserve">gallbladder in 8, and seven further organs in a single 41-slice pelvic acquisition that</w:t>
      </w:r>
      <w:r>
        <w:t xml:space="preserve"> </w:t>
      </w:r>
      <w:r>
        <w:t xml:space="preserve">does not reach the upper abdomen.</w:t>
      </w:r>
    </w:p>
    <w:p>
      <w:pPr>
        <w:pStyle w:val="BodyText"/>
      </w:pPr>
      <w:r>
        <w:t xml:space="preserve">Two further conditions apply to the 455 records, and they are</w:t>
      </w:r>
      <w:r>
        <w:t xml:space="preserve"> </w:t>
      </w:r>
      <w:r>
        <w:rPr>
          <w:b/>
          <w:bCs/>
        </w:rPr>
        <w:t xml:space="preserve">independent axes rather</w:t>
      </w:r>
      <w:r>
        <w:rPr>
          <w:b/>
          <w:bCs/>
        </w:rPr>
        <w:t xml:space="preserve"> </w:t>
      </w:r>
      <w:r>
        <w:rPr>
          <w:b/>
          <w:bCs/>
        </w:rPr>
        <w:t xml:space="preserve">than nested subsets</w:t>
      </w:r>
      <w:r>
        <w:t xml:space="preserve">. Truncation is a property of the organ: 408 records are untruncated</w:t>
      </w:r>
      <w:r>
        <w:t xml:space="preserve"> </w:t>
      </w:r>
      <w:r>
        <w:t xml:space="preserve">and 47 reach a scan boundary. Index availability is a property of the series: 386 records</w:t>
      </w:r>
      <w:r>
        <w:t xml:space="preserve"> </w:t>
      </w:r>
      <w:r>
        <w:t xml:space="preserve">carry an anatomy-weighted index, while the remaining 69 records, from 6 series, carry a</w:t>
      </w:r>
      <w:r>
        <w:t xml:space="preserve"> </w:t>
      </w:r>
      <w:r>
        <w:t xml:space="preserve">modulation weight but no index, because those series have no CTDIvol by either route. The</w:t>
      </w:r>
      <w:r>
        <w:t xml:space="preserve"> </w:t>
      </w:r>
      <w:r>
        <w:t xml:space="preserve">two conditions hold together for 345 records; 41 truncated records still carry an index,</w:t>
      </w:r>
      <w:r>
        <w:t xml:space="preserve"> </w:t>
      </w:r>
      <w:r>
        <w:t xml:space="preserve">and 63 untruncated records do not. The external reference-mass comparison uses the 177</w:t>
      </w:r>
      <w:r>
        <w:t xml:space="preserve"> </w:t>
      </w:r>
      <w:r>
        <w:t xml:space="preserve">untruncated records of the five solid organs. The full flow is in the shipped</w:t>
      </w:r>
      <w:r>
        <w:t xml:space="preserve"> </w:t>
      </w:r>
      <w:r>
        <w:rPr>
          <w:rStyle w:val="VerbatimChar"/>
        </w:rPr>
        <w:t xml:space="preserve">results/analysis_1.5mm.json</w:t>
      </w:r>
      <w:r>
        <w:t xml:space="preserve">.</w:t>
      </w:r>
    </w:p>
    <w:bookmarkEnd w:id="19"/>
    <w:bookmarkStart w:id="20" w:name="Xac99610bd1667e2236e31b4cc065aa132b167b5"/>
    <w:p>
      <w:pPr>
        <w:pStyle w:val="Heading3"/>
      </w:pPr>
      <w:r>
        <w:t xml:space="preserve">2.10. What the Index Does and Does Not Represent</w:t>
      </w:r>
    </w:p>
    <w:p>
      <w:pPr>
        <w:pStyle w:val="FirstParagraph"/>
      </w:pPr>
      <w:r>
        <w:t xml:space="preserve">The anatomy-weighted CTDIvol index describes organ-specific</w:t>
      </w:r>
      <w:r>
        <w:t xml:space="preserve"> </w:t>
      </w:r>
      <w:r>
        <w:rPr>
          <w:i/>
          <w:iCs/>
        </w:rPr>
        <w:t xml:space="preserve">longitudinal</w:t>
      </w:r>
      <w:r>
        <w:t xml:space="preserve"> </w:t>
      </w:r>
      <w:r>
        <w:t xml:space="preserve">tube-current</w:t>
      </w:r>
      <w:r>
        <w:t xml:space="preserve"> </w:t>
      </w:r>
      <w:r>
        <w:t xml:space="preserve">modulation relative to the whole-scan CTDIvol. It does not account for scattered</w:t>
      </w:r>
      <w:r>
        <w:t xml:space="preserve"> </w:t>
      </w:r>
      <w:r>
        <w:t xml:space="preserve">radiation; irradiation originating outside the organ’s segmented longitudinal extent;</w:t>
      </w:r>
      <w:r>
        <w:t xml:space="preserve"> </w:t>
      </w:r>
      <w:r>
        <w:t xml:space="preserve">angular (in-plane) tube-current modulation; organ depth, position or attenuation;</w:t>
      </w:r>
      <w:r>
        <w:t xml:space="preserve"> </w:t>
      </w:r>
      <w:r>
        <w:t xml:space="preserve">patient-specific Monte-Carlo radiation transport; or absorbed organ dose in milligray. It</w:t>
      </w:r>
      <w:r>
        <w:t xml:space="preserve"> </w:t>
      </w:r>
      <w:r>
        <w:t xml:space="preserve">is therefore not a surrogate for absorbed organ dose and must not be read as one. What it</w:t>
      </w:r>
      <w:r>
        <w:t xml:space="preserve"> </w:t>
      </w:r>
      <w:r>
        <w:t xml:space="preserve">does provide is a dimensionless, patient-specific, organ-specific measure of longitudinal</w:t>
      </w:r>
      <w:r>
        <w:t xml:space="preserve"> </w:t>
      </w:r>
      <w:r>
        <w:t xml:space="preserve">modulation, and a derived index in the units of the parent CTDIvol.</w:t>
      </w:r>
    </w:p>
    <w:bookmarkEnd w:id="20"/>
    <w:bookmarkStart w:id="21" w:name="verification-and-reproducibility"/>
    <w:p>
      <w:pPr>
        <w:pStyle w:val="Heading3"/>
      </w:pPr>
      <w:r>
        <w:t xml:space="preserve">2.11. Verification and Reproducibility</w:t>
      </w:r>
    </w:p>
    <w:p>
      <w:pPr>
        <w:pStyle w:val="FirstParagraph"/>
      </w:pPr>
      <w:r>
        <w:t xml:space="preserve">Every series is screened against facts of gross anatomy that hold for any adult: the left</w:t>
      </w:r>
      <w:r>
        <w:t xml:space="preserve"> </w:t>
      </w:r>
      <w:r>
        <w:t xml:space="preserve">kidney lies to the patient’s left of the right kidney and the spleen to the left of the</w:t>
      </w:r>
      <w:r>
        <w:t xml:space="preserve"> </w:t>
      </w:r>
      <w:r>
        <w:t xml:space="preserve">liver; the liver lies superior to the bladder and the adrenal glands superior to the</w:t>
      </w:r>
      <w:r>
        <w:t xml:space="preserve"> </w:t>
      </w:r>
      <w:r>
        <w:t xml:space="preserve">kidneys; solid-organ mass estimates fall within a wide band of reference values; and the</w:t>
      </w:r>
      <w:r>
        <w:t xml:space="preserve"> </w:t>
      </w:r>
      <w:r>
        <w:t xml:space="preserve">organ weights vary within a series. These screens exist because the failures they catch</w:t>
      </w:r>
      <w:r>
        <w:t xml:space="preserve"> </w:t>
      </w:r>
      <w:r>
        <w:t xml:space="preserve">leave no other trace.</w:t>
      </w:r>
    </w:p>
    <w:p>
      <w:pPr>
        <w:pStyle w:val="BodyText"/>
      </w:pPr>
      <w:r>
        <w:t xml:space="preserve">Analyses were run with Python 3.14 (the package supports 3.10 and later), TotalSegmentator</w:t>
      </w:r>
      <w:r>
        <w:t xml:space="preserve"> </w:t>
      </w:r>
      <w:r>
        <w:t xml:space="preserve">v2.17 (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task, 1.5 mm full-resolution model) on PyTorch 2.11 with CUDA 12.8, pydicom</w:t>
      </w:r>
      <w:r>
        <w:t xml:space="preserve"> </w:t>
      </w:r>
      <w:r>
        <w:t xml:space="preserve">3.0 and NumPy 2.5, using an NVIDIA RTX 3080. Every reported value is re-derived from the</w:t>
      </w:r>
      <w:r>
        <w:t xml:space="preserve"> </w:t>
      </w:r>
      <w:r>
        <w:t xml:space="preserve">per-series records by the test suite, including regenerating the complete analysis table</w:t>
      </w:r>
      <w:r>
        <w:t xml:space="preserve"> </w:t>
      </w:r>
      <w:r>
        <w:t xml:space="preserve">and comparing it. The acquisition, organ, analysis and figure layers are regenerated by</w:t>
      </w:r>
      <w:r>
        <w:t xml:space="preserve"> </w:t>
      </w:r>
      <w:r>
        <w:rPr>
          <w:rStyle w:val="VerbatimChar"/>
        </w:rPr>
        <w:t xml:space="preserve">tools/select_and_download.py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tools/run_organ_dose.py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tools/make_analysis.py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tools/make_figures.py</w:t>
      </w:r>
      <w:r>
        <w:t xml:space="preserve"> </w:t>
      </w:r>
      <w:r>
        <w:t xml:space="preserve">respectively; the acquisition-parameter check by</w:t>
      </w:r>
      <w:r>
        <w:t xml:space="preserve"> </w:t>
      </w:r>
      <w:r>
        <w:rPr>
          <w:rStyle w:val="VerbatimChar"/>
        </w:rPr>
        <w:t xml:space="preserve">tools/verify_acquisition_constancy.py</w:t>
      </w:r>
      <w:r>
        <w:t xml:space="preserve">. The repository, its release tag, commit hash and</w:t>
      </w:r>
      <w:r>
        <w:t xml:space="preserve"> </w:t>
      </w:r>
      <w:r>
        <w:t xml:space="preserve">archived version DOI are given in the Data Availability Statement.</w:t>
      </w:r>
    </w:p>
    <w:bookmarkEnd w:id="21"/>
    <w:bookmarkEnd w:id="22"/>
    <w:bookmarkStart w:id="43" w:name="results"/>
    <w:p>
      <w:pPr>
        <w:pStyle w:val="Heading2"/>
      </w:pPr>
      <w:r>
        <w:t xml:space="preserve">3. Results</w:t>
      </w:r>
    </w:p>
    <w:bookmarkStart w:id="26" w:name="cohort-and-records"/>
    <w:p>
      <w:pPr>
        <w:pStyle w:val="Heading3"/>
      </w:pPr>
      <w:r>
        <w:t xml:space="preserve">3.1. Cohort and Records</w:t>
      </w:r>
    </w:p>
    <w:p>
      <w:pPr>
        <w:pStyle w:val="FirstParagraph"/>
      </w:pPr>
      <w:r>
        <w:t xml:space="preserve">Forty series were analysed — ten from each of GE, Siemens, Canon/Toshiba and Philips —</w:t>
      </w:r>
      <w:r>
        <w:t xml:space="preserve"> </w:t>
      </w:r>
      <w:r>
        <w:t xml:space="preserve">drawn from 21 collections and 23 scanner models. Of 480 organ–series combinations, 455</w:t>
      </w:r>
      <w:r>
        <w:t xml:space="preserve"> </w:t>
      </w:r>
      <w:r>
        <w:t xml:space="preserve">organ records were produced across 12 organs, with the flow as given in Section 2.9.</w:t>
      </w:r>
      <w:r>
        <w:t xml:space="preserve"> </w:t>
      </w:r>
      <w:r>
        <w:t xml:space="preserve">Figure 1 shows the segmentation output for a representative acquisition.</w:t>
      </w:r>
    </w:p>
    <w:p>
      <w:pPr>
        <w:pStyle w:val="BodyText"/>
      </w:pPr>
      <w:r>
        <w:t xml:space="preserve">Of the 40 segmented series, 39 met the acquisition-constancy criterion of Section 2.8. One</w:t>
      </w:r>
      <w:r>
        <w:t xml:space="preserve"> </w:t>
      </w:r>
      <w:r>
        <w:t xml:space="preserve">archived GE series contained two blocks with different exposure and rotation times; it was</w:t>
      </w:r>
      <w:r>
        <w:t xml:space="preserve"> </w:t>
      </w:r>
      <w:r>
        <w:t xml:space="preserve">retained for the segmentation, estimated-mass and archive-availability analyses and</w:t>
      </w:r>
      <w:r>
        <w:t xml:space="preserve"> </w:t>
      </w:r>
      <w:r>
        <w:t xml:space="preserve">excluded from the modulation-weight and anatomy-weighted-index summaries. The quantitative</w:t>
      </w:r>
      <w:r>
        <w:t xml:space="preserve"> </w:t>
      </w:r>
      <w:r>
        <w:t xml:space="preserve">modulation analysis therefore rests on 375 organ records from the 33 eligible series that</w:t>
      </w:r>
      <w:r>
        <w:t xml:space="preserve"> </w:t>
      </w:r>
      <w:r>
        <w:t xml:space="preserve">also carry a CTDIvol.</w:t>
      </w:r>
    </w:p>
    <w:p>
      <w:pPr>
        <w:pStyle w:val="BodyText"/>
      </w:pPr>
      <w:r>
        <w:drawing>
          <wp:inline>
            <wp:extent cx="4957010" cy="5784324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ures/fig1_segmentation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7010" cy="57843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Representative TotalSegmentator output from one abdominal CT series used in</w:t>
      </w:r>
      <w:r>
        <w:t xml:space="preserve"> </w:t>
      </w:r>
      <w:r>
        <w:t xml:space="preserve">the analysis. (</w:t>
      </w:r>
      <w:r>
        <w:rPr>
          <w:b/>
          <w:bCs/>
        </w:rPr>
        <w:t xml:space="preserve">a</w:t>
      </w:r>
      <w:r>
        <w:t xml:space="preserve">) Coronal reformat with multi-organ overlays. (</w:t>
      </w:r>
      <w:r>
        <w:rPr>
          <w:b/>
          <w:bCs/>
        </w:rPr>
        <w:t xml:space="preserve">b</w:t>
      </w:r>
      <w:r>
        <w:t xml:space="preserve">–</w:t>
      </w:r>
      <w:r>
        <w:rPr>
          <w:b/>
          <w:bCs/>
        </w:rPr>
        <w:t xml:space="preserve">d</w:t>
      </w:r>
      <w:r>
        <w:t xml:space="preserve">) Axial</w:t>
      </w:r>
      <w:r>
        <w:t xml:space="preserve"> </w:t>
      </w:r>
      <w:r>
        <w:t xml:space="preserve">levels through the upper abdomen, the renal level and the lower abdomen. Masks were</w:t>
      </w:r>
      <w:r>
        <w:t xml:space="preserve"> </w:t>
      </w:r>
      <w:r>
        <w:t xml:space="preserve">generated with TotalSegmentator v2.17 using the 1.5 mm full-resolution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 and</w:t>
      </w:r>
      <w:r>
        <w:t xml:space="preserve"> </w:t>
      </w:r>
      <w:r>
        <w:t xml:space="preserve">returned to the native DICOM-derived image grid; overlays are translucent so the anatomy</w:t>
      </w:r>
      <w:r>
        <w:t xml:space="preserve"> </w:t>
      </w:r>
      <w:r>
        <w:t xml:space="preserve">they are drawn against remains visible, and the key lists the structures actually shown.</w:t>
      </w:r>
      <w:r>
        <w:t xml:space="preserve"> </w:t>
      </w:r>
      <w:r>
        <w:t xml:space="preserve">The same acquisition appears in Figure 2. Images are displayed in radiological convention,</w:t>
      </w:r>
      <w:r>
        <w:t xml:space="preserve"> </w:t>
      </w:r>
      <w:r>
        <w:t xml:space="preserve">with the patient’s left on the viewer’s right. Only de-identified imaging from The Cancer</w:t>
      </w:r>
      <w:r>
        <w:t xml:space="preserve"> </w:t>
      </w:r>
      <w:r>
        <w:t xml:space="preserve">Imaging Archive is shown.</w:t>
      </w:r>
    </w:p>
    <w:bookmarkEnd w:id="26"/>
    <w:bookmarkStart w:id="30" w:name="organ-specific-modulation-weights"/>
    <w:p>
      <w:pPr>
        <w:pStyle w:val="Heading3"/>
      </w:pPr>
      <w:r>
        <w:t xml:space="preserve">3.2. Organ-Specific Modulation Weights</w:t>
      </w:r>
    </w:p>
    <w:p>
      <w:pPr>
        <w:pStyle w:val="FirstParagraph"/>
      </w:pPr>
      <w:r>
        <w:t xml:space="preserve">Across the eligible series, organ-specific modulation weights span 0.59 to 1.69. The</w:t>
      </w:r>
      <w:r>
        <w:t xml:space="preserve"> </w:t>
      </w:r>
      <w:r>
        <w:t xml:space="preserve">anatomy-weighted index therefore departs from the whole-scan CTDIvol by up to roughly 70%</w:t>
      </w:r>
      <w:r>
        <w:t xml:space="preserve"> </w:t>
      </w:r>
      <w:r>
        <w:t xml:space="preserve">in either direction within a single acquisition, which is the variation the index exists</w:t>
      </w:r>
      <w:r>
        <w:t xml:space="preserve"> </w:t>
      </w:r>
      <w:r>
        <w:t xml:space="preserve">to express.</w:t>
      </w:r>
    </w:p>
    <w:p>
      <w:pPr>
        <w:pStyle w:val="BodyText"/>
      </w:pPr>
      <w:r>
        <w:t xml:space="preserve">Figure 2 shows one acquisition end to end: a Canon/Toshiba Aquilion PRIME series of 268</w:t>
      </w:r>
      <w:r>
        <w:t xml:space="preserve"> </w:t>
      </w:r>
      <w:r>
        <w:t xml:space="preserve">slices with a recorded CTDIvol of 16.1 mGy and a scan mean tube current of 265 mA. The</w:t>
      </w:r>
      <w:r>
        <w:t xml:space="preserve"> </w:t>
      </w:r>
      <w:r>
        <w:t xml:space="preserve">small bowel and colon, lying in the inferior abdomen where the modulation raised the</w:t>
      </w:r>
      <w:r>
        <w:t xml:space="preserve"> </w:t>
      </w:r>
      <w:r>
        <w:t xml:space="preserve">current to about 447 and 435 mA, take weights of 1.69 and 1.64 respectively, giving indices</w:t>
      </w:r>
      <w:r>
        <w:t xml:space="preserve"> </w:t>
      </w:r>
      <w:r>
        <w:t xml:space="preserve">near 27 mGy; the left kidney and stomach, higher in the scan, take weights of 0.94 and</w:t>
      </w:r>
      <w:r>
        <w:t xml:space="preserve"> </w:t>
      </w:r>
      <w:r>
        <w:t xml:space="preserve">indices near 15 mGy. Two organs in the same acquisition thus differ by a factor of 1.8 in</w:t>
      </w:r>
      <w:r>
        <w:t xml:space="preserve"> </w:t>
      </w:r>
      <w:r>
        <w:t xml:space="preserve">their anatomy-weighted index, a difference no whole-scan value can express.</w:t>
      </w:r>
    </w:p>
    <w:p>
      <w:pPr>
        <w:pStyle w:val="BodyText"/>
      </w:pPr>
      <w:r>
        <w:drawing>
          <wp:inline>
            <wp:extent cx="5334000" cy="4659094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ures/fig2_demonstration_cas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59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One acquisition end to end. (</w:t>
      </w:r>
      <w:r>
        <w:rPr>
          <w:b/>
          <w:bCs/>
        </w:rPr>
        <w:t xml:space="preserve">a</w:t>
      </w:r>
      <w:r>
        <w:t xml:space="preserve">) Each organ’s longitudinal extent,</w:t>
      </w:r>
      <w:r>
        <w:t xml:space="preserve"> </w:t>
      </w:r>
      <w:r>
        <w:t xml:space="preserve">annotated with the mean tube current recorded over it, against a scan mean of 265 mA.</w:t>
      </w:r>
      <w:r>
        <w:t xml:space="preserve"> </w:t>
      </w:r>
      <w:r>
        <w:t xml:space="preserve">(</w:t>
      </w:r>
      <w:r>
        <w:rPr>
          <w:b/>
          <w:bCs/>
        </w:rPr>
        <w:t xml:space="preserve">b</w:t>
      </w:r>
      <w:r>
        <w:t xml:space="preserve">) The resulting anatomy-weighted CTDIvol index, with the organ-specific modulation</w:t>
      </w:r>
      <w:r>
        <w:t xml:space="preserve"> </w:t>
      </w:r>
      <w:r>
        <w:t xml:space="preserve">weight beside each bar; the dashed line is the whole-scan CTDIvol of 16.1 mGy. The bars</w:t>
      </w:r>
      <w:r>
        <w:t xml:space="preserve"> </w:t>
      </w:r>
      <w:r>
        <w:t xml:space="preserve">are modulation-weighted indices, not absorbed doses.</w:t>
      </w:r>
    </w:p>
    <w:bookmarkEnd w:id="30"/>
    <w:bookmarkStart w:id="34" w:name="X1e80acbb71a080ba11eed7c879b65fdaf9935e5"/>
    <w:p>
      <w:pPr>
        <w:pStyle w:val="Heading3"/>
      </w:pPr>
      <w:r>
        <w:t xml:space="preserve">3.3. Availability of a Dose Index in the Archived Headers</w:t>
      </w:r>
    </w:p>
    <w:p>
      <w:pPr>
        <w:pStyle w:val="FirstParagraph"/>
      </w:pPr>
      <w:r>
        <w:t xml:space="preserve">Across the cohort, 29 of 40 series retained a recorded CTDIvol in the archived DICOM</w:t>
      </w:r>
      <w:r>
        <w:t xml:space="preserve"> </w:t>
      </w:r>
      <w:r>
        <w:t xml:space="preserve">headers, 5 were reconstructable from acquisition physics, and 6 were neither (Figure 3).</w:t>
      </w:r>
    </w:p>
    <w:p>
      <w:pPr>
        <w:pStyle w:val="BodyText"/>
      </w:pPr>
      <w:r>
        <w:t xml:space="preserve">All 6 unrecoverable series are GE, and none of the ten sampled GE series retained a</w:t>
      </w:r>
      <w:r>
        <w:t xml:space="preserve"> </w:t>
      </w:r>
      <w:r>
        <w:t xml:space="preserve">recorded CTDIvol in the archived headers; the other three manufacturers retained one in 29</w:t>
      </w:r>
      <w:r>
        <w:t xml:space="preserve"> </w:t>
      </w:r>
      <w:r>
        <w:t xml:space="preserve">of 30. These counts are reported descriptively. No significance test is applied: series</w:t>
      </w:r>
      <w:r>
        <w:t xml:space="preserve"> </w:t>
      </w:r>
      <w:r>
        <w:t xml:space="preserve">drawn from a curated archive are not independent with respect to collection, contributing</w:t>
      </w:r>
      <w:r>
        <w:t xml:space="preserve"> </w:t>
      </w:r>
      <w:r>
        <w:t xml:space="preserve">site, scanner model, export pathway or de-identification, and a p-value computed over that</w:t>
      </w:r>
      <w:r>
        <w:t xml:space="preserve"> </w:t>
      </w:r>
      <w:r>
        <w:t xml:space="preserve">structure would describe a sampling model the data do not satisfy. For the six</w:t>
      </w:r>
      <w:r>
        <w:t xml:space="preserve"> </w:t>
      </w:r>
      <w:r>
        <w:t xml:space="preserve">unrecoverable series the organ masks, volumes, mass estimates and modulation weights are</w:t>
      </w:r>
      <w:r>
        <w:t xml:space="preserve"> </w:t>
      </w:r>
      <w:r>
        <w:t xml:space="preserve">all computable and reported, but no anatomy-weighted index exists for them.</w:t>
      </w:r>
    </w:p>
    <w:p>
      <w:pPr>
        <w:pStyle w:val="BodyText"/>
      </w:pPr>
      <w:r>
        <w:drawing>
          <wp:inline>
            <wp:extent cx="5334000" cy="289881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figures/fig3_dose_index_availability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88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Availability of a whole-scan dose index in the archived DICOM headers, by</w:t>
      </w:r>
      <w:r>
        <w:t xml:space="preserve"> </w:t>
      </w:r>
      <w:r>
        <w:t xml:space="preserve">manufacturer, in this TCIA sample. A series counted unrecoverable retained no CTDIvol in</w:t>
      </w:r>
      <w:r>
        <w:t xml:space="preserve"> </w:t>
      </w:r>
      <w:r>
        <w:t xml:space="preserve">its header and its scanner lies outside the open coefficient database. Segments are</w:t>
      </w:r>
      <w:r>
        <w:t xml:space="preserve"> </w:t>
      </w:r>
      <w:r>
        <w:t xml:space="preserve">distinguished by fill pattern as well as tone.</w:t>
      </w:r>
    </w:p>
    <w:bookmarkEnd w:id="34"/>
    <w:bookmarkStart w:id="38" w:name="X70cbf5043a3c777e943a08818979130bc3ea1a7"/>
    <w:p>
      <w:pPr>
        <w:pStyle w:val="Heading3"/>
      </w:pPr>
      <w:r>
        <w:t xml:space="preserve">3.4. External Reference Comparison of Estimated Organ Mass</w:t>
      </w:r>
    </w:p>
    <w:p>
      <w:pPr>
        <w:pStyle w:val="FirstParagraph"/>
      </w:pPr>
      <w:r>
        <w:t xml:space="preserve">Table 1 and Figure 4 place attenuation-derived estimated organ mass beside the ICRP 89</w:t>
      </w:r>
      <w:r>
        <w:t xml:space="preserve"> </w:t>
      </w:r>
      <w:r>
        <w:t xml:space="preserve">reference adult male values [5], over the 177 untruncated records of the five solid</w:t>
      </w:r>
      <w:r>
        <w:t xml:space="preserve"> </w:t>
      </w:r>
      <w:r>
        <w:t xml:space="preserve">organs.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Attenuation-derived estimated organ mass beside ICRP 89 reference adult male</w:t>
      </w:r>
      <w:r>
        <w:t xml:space="preserve"> </w:t>
      </w:r>
      <w:r>
        <w:t xml:space="preserve">values, untruncated organs only. The reference is an external anchor, not a subject-level</w:t>
      </w:r>
      <w:r>
        <w:t xml:space="preserve"> </w:t>
      </w:r>
      <w:r>
        <w:t xml:space="preserve">ground truth.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organ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median estimated mass</w:t>
            </w:r>
          </w:p>
        </w:tc>
        <w:tc>
          <w:tcPr/>
          <w:p>
            <w:pPr>
              <w:pStyle w:val="Compact"/>
            </w:pPr>
            <w:r>
              <w:t xml:space="preserve">ratio to ICRP 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1901 g</w:t>
            </w:r>
          </w:p>
        </w:tc>
        <w:tc>
          <w:tcPr/>
          <w:p>
            <w:pPr>
              <w:pStyle w:val="Compact"/>
            </w:pPr>
            <w:r>
              <w:t xml:space="preserve">1.06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spleen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259 g</w:t>
            </w:r>
          </w:p>
        </w:tc>
        <w:tc>
          <w:tcPr/>
          <w:p>
            <w:pPr>
              <w:pStyle w:val="Compact"/>
            </w:pPr>
            <w:r>
              <w:t xml:space="preserve">1.72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kidney (left)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179 g</w:t>
            </w:r>
          </w:p>
        </w:tc>
        <w:tc>
          <w:tcPr/>
          <w:p>
            <w:pPr>
              <w:pStyle w:val="Compact"/>
            </w:pPr>
            <w:r>
              <w:t xml:space="preserve">1.15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kidney (right)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182 g</w:t>
            </w:r>
          </w:p>
        </w:tc>
        <w:tc>
          <w:tcPr/>
          <w:p>
            <w:pPr>
              <w:pStyle w:val="Compact"/>
            </w:pPr>
            <w:r>
              <w:t xml:space="preserve">1.17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pancreas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86 g</w:t>
            </w:r>
          </w:p>
        </w:tc>
        <w:tc>
          <w:tcPr/>
          <w:p>
            <w:pPr>
              <w:pStyle w:val="Compact"/>
            </w:pPr>
            <w:r>
              <w:t xml:space="preserve">0.61</w:t>
            </w:r>
          </w:p>
        </w:tc>
      </w:tr>
    </w:tbl>
    <w:p>
      <w:pPr>
        <w:pStyle w:val="BodyText"/>
      </w:pPr>
      <w:r>
        <w:t xml:space="preserve">Estimates for the liver were broadly consistent with the reference value, within 6%, and</w:t>
      </w:r>
      <w:r>
        <w:t xml:space="preserve"> </w:t>
      </w:r>
      <w:r>
        <w:t xml:space="preserve">the kidneys within 17%. Two organs departed more substantially: the pancreas estimate was</w:t>
      </w:r>
      <w:r>
        <w:t xml:space="preserve"> </w:t>
      </w:r>
      <w:r>
        <w:t xml:space="preserve">39% below the reference and the spleen 72% above. Neither was adjusted; possible</w:t>
      </w:r>
      <w:r>
        <w:t xml:space="preserve"> </w:t>
      </w:r>
      <w:r>
        <w:t xml:space="preserve">explanations are examined in Section 4.</w:t>
      </w:r>
    </w:p>
    <w:p>
      <w:pPr>
        <w:pStyle w:val="BodyText"/>
      </w:pPr>
      <w:r>
        <w:drawing>
          <wp:inline>
            <wp:extent cx="5147224" cy="294258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figures/fig4_organ_mass_vs_icrp89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7224" cy="2942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Attenuation-derived estimated organ mass relative to the ICRP 89 reference</w:t>
      </w:r>
      <w:r>
        <w:t xml:space="preserve"> </w:t>
      </w:r>
      <w:r>
        <w:t xml:space="preserve">adult male mass, by manufacturer. Each marker is one organ in one series; the horizontal</w:t>
      </w:r>
      <w:r>
        <w:t xml:space="preserve"> </w:t>
      </w:r>
      <w:r>
        <w:t xml:space="preserve">bar is the median across all manufacturers. Organs truncated by the scan boundary are</w:t>
      </w:r>
      <w:r>
        <w:t xml:space="preserve"> </w:t>
      </w:r>
      <w:r>
        <w:t xml:space="preserve">excluded. Manufacturer is encoded by marker shape as well as colour, so the figure is</w:t>
      </w:r>
      <w:r>
        <w:t xml:space="preserve"> </w:t>
      </w:r>
      <w:r>
        <w:t xml:space="preserve">readable in greyscale.</w:t>
      </w:r>
    </w:p>
    <w:bookmarkEnd w:id="38"/>
    <w:bookmarkStart w:id="42" w:name="Xe502f279f709e96f2f22f37520e1c85ca7cf199"/>
    <w:p>
      <w:pPr>
        <w:pStyle w:val="Heading3"/>
      </w:pPr>
      <w:r>
        <w:t xml:space="preserve">3.5. What Limits an Organ-Level Modulation Analysis</w:t>
      </w:r>
    </w:p>
    <w:p>
      <w:pPr>
        <w:pStyle w:val="FirstParagraph"/>
      </w:pPr>
      <w:r>
        <w:t xml:space="preserve">Two conditions reduce what such an analysis can measure, and both differ across the</w:t>
      </w:r>
      <w:r>
        <w:t xml:space="preserve"> </w:t>
      </w:r>
      <w:r>
        <w:t xml:space="preserve">sampled manufacturers (Figure 5).</w:t>
      </w:r>
    </w:p>
    <w:p>
      <w:pPr>
        <w:pStyle w:val="BodyText"/>
      </w:pPr>
      <w:r>
        <w:t xml:space="preserve">Truncation by the scan boundary affected 5.2% of organ records on GE, 5.5% on Siemens,</w:t>
      </w:r>
      <w:r>
        <w:t xml:space="preserve"> </w:t>
      </w:r>
      <w:r>
        <w:t xml:space="preserve">10.4% on Canon/Toshiba and 20.0% on Philips, reflecting the scan ranges of the sampled</w:t>
      </w:r>
      <w:r>
        <w:t xml:space="preserve"> </w:t>
      </w:r>
      <w:r>
        <w:t xml:space="preserve">acquisitions rather than any property of the scanners. The organs most often cut are the</w:t>
      </w:r>
      <w:r>
        <w:t xml:space="preserve"> </w:t>
      </w:r>
      <w:r>
        <w:t xml:space="preserve">colon and small bowel.</w:t>
      </w:r>
    </w:p>
    <w:p>
      <w:pPr>
        <w:pStyle w:val="BodyText"/>
      </w:pPr>
      <w:r>
        <w:t xml:space="preserve">3 of the 40 series showed a peak-to-peak spread of organ weights below 0.02: their tube</w:t>
      </w:r>
      <w:r>
        <w:t xml:space="preserve"> </w:t>
      </w:r>
      <w:r>
        <w:t xml:space="preserve">current does not vary across the abdominal organs, so the weighting has nothing to</w:t>
      </w:r>
      <w:r>
        <w:t xml:space="preserve"> </w:t>
      </w:r>
      <w:r>
        <w:t xml:space="preserve">express. These series passed the modulation screen at selection, where the current varies</w:t>
      </w:r>
      <w:r>
        <w:t xml:space="preserve"> </w:t>
      </w:r>
      <w:r>
        <w:t xml:space="preserve">across the whole scan; the flatness is local to the abdomen. They are uninformative for</w:t>
      </w:r>
      <w:r>
        <w:t xml:space="preserve"> </w:t>
      </w:r>
      <w:r>
        <w:t xml:space="preserve">this analysis rather than faulty.</w:t>
      </w:r>
    </w:p>
    <w:p>
      <w:pPr>
        <w:pStyle w:val="BodyText"/>
      </w:pPr>
      <w:r>
        <w:drawing>
          <wp:inline>
            <wp:extent cx="5296186" cy="2342147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figures/fig5_study_limit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6186" cy="23421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5.</w:t>
      </w:r>
      <w:r>
        <w:t xml:space="preserve"> </w:t>
      </w:r>
      <w:r>
        <w:t xml:space="preserve">What limits an organ-level modulation analysis. (</w:t>
      </w:r>
      <w:r>
        <w:rPr>
          <w:b/>
          <w:bCs/>
        </w:rPr>
        <w:t xml:space="preserve">a</w:t>
      </w:r>
      <w:r>
        <w:t xml:space="preserve">) Percentage of organ</w:t>
      </w:r>
      <w:r>
        <w:t xml:space="preserve"> </w:t>
      </w:r>
      <w:r>
        <w:t xml:space="preserve">records truncated by the scan boundary, by manufacturer, annotated with the counts.</w:t>
      </w:r>
      <w:r>
        <w:t xml:space="preserve"> </w:t>
      </w:r>
      <w:r>
        <w:t xml:space="preserve">(</w:t>
      </w:r>
      <w:r>
        <w:rPr>
          <w:b/>
          <w:bCs/>
        </w:rPr>
        <w:t xml:space="preserve">b</w:t>
      </w:r>
      <w:r>
        <w:t xml:space="preserve">) Peak-to-peak spread of the organ-specific modulation weights within each series;</w:t>
      </w:r>
      <w:r>
        <w:t xml:space="preserve"> </w:t>
      </w:r>
      <w:r>
        <w:t xml:space="preserve">the dashed line is the threshold below which a series carries no usable variation.</w:t>
      </w:r>
    </w:p>
    <w:bookmarkEnd w:id="42"/>
    <w:bookmarkEnd w:id="43"/>
    <w:bookmarkStart w:id="44" w:name="discussion"/>
    <w:p>
      <w:pPr>
        <w:pStyle w:val="Heading2"/>
      </w:pPr>
      <w:r>
        <w:t xml:space="preserve">4. Discussion</w:t>
      </w:r>
    </w:p>
    <w:p>
      <w:pPr>
        <w:pStyle w:val="FirstParagraph"/>
      </w:pPr>
      <w:r>
        <w:rPr>
          <w:b/>
          <w:bCs/>
        </w:rPr>
        <w:t xml:space="preserve">Principal finding.</w:t>
      </w:r>
      <w:r>
        <w:t xml:space="preserve"> </w:t>
      </w:r>
      <w:r>
        <w:t xml:space="preserve">Organ-specific modulation weights span 0.59 to 1.69 across this</w:t>
      </w:r>
      <w:r>
        <w:t xml:space="preserve"> </w:t>
      </w:r>
      <w:r>
        <w:t xml:space="preserve">cohort, and within a single acquisition two organs differed by a factor of 1.8 in their</w:t>
      </w:r>
      <w:r>
        <w:t xml:space="preserve"> </w:t>
      </w:r>
      <w:r>
        <w:t xml:space="preserve">anatomy-weighted index. Longitudinal modulation therefore produces organ-specific exposure</w:t>
      </w:r>
      <w:r>
        <w:t xml:space="preserve"> </w:t>
      </w:r>
      <w:r>
        <w:t xml:space="preserve">conditions that a single whole-scan CTDIvol cannot represent, and the magnitude is large</w:t>
      </w:r>
      <w:r>
        <w:t xml:space="preserve"> </w:t>
      </w:r>
      <w:r>
        <w:t xml:space="preserve">enough to matter for any organ-level analysis built on that value.</w:t>
      </w:r>
    </w:p>
    <w:p>
      <w:pPr>
        <w:pStyle w:val="BodyText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The weight is a direct, dimensionless summary of how the recorded tube</w:t>
      </w:r>
      <w:r>
        <w:t xml:space="preserve"> </w:t>
      </w:r>
      <w:r>
        <w:t xml:space="preserve">current was distributed over an organ’s own longitudinal extent in that patient. It</w:t>
      </w:r>
      <w:r>
        <w:t xml:space="preserve"> </w:t>
      </w:r>
      <w:r>
        <w:t xml:space="preserve">requires no phantom, no simulation and no additional acquisition — only metadata the</w:t>
      </w:r>
      <w:r>
        <w:t xml:space="preserve"> </w:t>
      </w:r>
      <w:r>
        <w:t xml:space="preserve">scanner already writes and a segmentation obtained at inference.</w:t>
      </w:r>
    </w:p>
    <w:p>
      <w:pPr>
        <w:pStyle w:val="BodyText"/>
      </w:pPr>
      <w:r>
        <w:rPr>
          <w:b/>
          <w:bCs/>
        </w:rPr>
        <w:t xml:space="preserve">What the index is, and what it is not.</w:t>
      </w:r>
      <w:r>
        <w:t xml:space="preserve"> </w:t>
      </w:r>
      <w:r>
        <w:t xml:space="preserve">As set out in Section 2.10, the index addresses</w:t>
      </w:r>
      <w:r>
        <w:t xml:space="preserve"> </w:t>
      </w:r>
      <w:r>
        <w:t xml:space="preserve">longitudinal modulation alone. It does not account for scatter, for irradiation</w:t>
      </w:r>
      <w:r>
        <w:t xml:space="preserve"> </w:t>
      </w:r>
      <w:r>
        <w:t xml:space="preserve">originating outside the organ’s segmented extent, for angular modulation, for organ depth</w:t>
      </w:r>
      <w:r>
        <w:t xml:space="preserve"> </w:t>
      </w:r>
      <w:r>
        <w:t xml:space="preserve">and attenuation, or for radiation transport, and it is not an estimate of absorbed organ</w:t>
      </w:r>
      <w:r>
        <w:t xml:space="preserve"> </w:t>
      </w:r>
      <w:r>
        <w:t xml:space="preserve">dose in milligray. Its value lies in isolating one well-defined contribution — the</w:t>
      </w:r>
      <w:r>
        <w:t xml:space="preserve"> </w:t>
      </w:r>
      <w:r>
        <w:t xml:space="preserve">longitudinal one — and reporting it patient-specifically and reproducibly.</w:t>
      </w:r>
    </w:p>
    <w:p>
      <w:pPr>
        <w:pStyle w:val="BodyText"/>
      </w:pPr>
      <w:r>
        <w:rPr>
          <w:b/>
          <w:bCs/>
        </w:rPr>
        <w:t xml:space="preserve">External reference comparison of estimated mass.</w:t>
      </w:r>
      <w:r>
        <w:t xml:space="preserve"> </w:t>
      </w:r>
      <w:r>
        <w:t xml:space="preserve">Liver and kidney estimates were</w:t>
      </w:r>
      <w:r>
        <w:t xml:space="preserve"> </w:t>
      </w:r>
      <w:r>
        <w:t xml:space="preserve">broadly consistent with ICRP 89 reference values, which is the expected behaviour if the</w:t>
      </w:r>
      <w:r>
        <w:t xml:space="preserve"> </w:t>
      </w:r>
      <w:r>
        <w:t xml:space="preserve">segmentation and the density model are working. The pancreas estimate sits 39% below the</w:t>
      </w:r>
      <w:r>
        <w:t xml:space="preserve"> </w:t>
      </w:r>
      <w:r>
        <w:t xml:space="preserve">reference. The pancreas is the weakest of these organs in TotalSegmentator’s own</w:t>
      </w:r>
      <w:r>
        <w:t xml:space="preserve"> </w:t>
      </w:r>
      <w:r>
        <w:t xml:space="preserve">validation (Dice 0.887, against 0.965 for the liver, 0.983 for the spleen and 0.953 and</w:t>
      </w:r>
      <w:r>
        <w:t xml:space="preserve"> </w:t>
      </w:r>
      <w:r>
        <w:t xml:space="preserve">0.939 for the kidneys [1]), which supports reduced boundary agreement; but Dice is</w:t>
      </w:r>
      <w:r>
        <w:t xml:space="preserve"> </w:t>
      </w:r>
      <w:r>
        <w:t xml:space="preserve">symmetric and does not establish the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of a disagreement, so it does not by</w:t>
      </w:r>
      <w:r>
        <w:t xml:space="preserve"> </w:t>
      </w:r>
      <w:r>
        <w:t xml:space="preserve">itself demonstrate under-segmentation. Contrast phase, reconstruction kernel and genuine</w:t>
      </w:r>
      <w:r>
        <w:t xml:space="preserve"> </w:t>
      </w:r>
      <w:r>
        <w:t xml:space="preserve">anatomical variation in this cohort are alternative contributors that the present design</w:t>
      </w:r>
      <w:r>
        <w:t xml:space="preserve"> </w:t>
      </w:r>
      <w:r>
        <w:t xml:space="preserve">cannot separate. The source of the discrepancy cannot be determined without subject-level</w:t>
      </w:r>
      <w:r>
        <w:t xml:space="preserve"> </w:t>
      </w:r>
      <w:r>
        <w:t xml:space="preserve">reference contours or clinical ground truth.</w:t>
      </w:r>
    </w:p>
    <w:p>
      <w:pPr>
        <w:pStyle w:val="BodyText"/>
      </w:pPr>
      <w:r>
        <w:t xml:space="preserve">The spleen estimate sits 72% above the reference. The four largest cases — 4.47, 3.74,</w:t>
      </w:r>
      <w:r>
        <w:t xml:space="preserve"> </w:t>
      </w:r>
      <w:r>
        <w:t xml:space="preserve">3.34 and 3.06 times the reference value — were reviewed slice by slice against their own</w:t>
      </w:r>
      <w:r>
        <w:t xml:space="preserve"> </w:t>
      </w:r>
      <w:r>
        <w:t xml:space="preserve">images: each contour follows the splenic boundary with correct laterality, tracks the notch</w:t>
      </w:r>
      <w:r>
        <w:t xml:space="preserve"> </w:t>
      </w:r>
      <w:r>
        <w:t xml:space="preserve">at the hilum, shows no leakage into liver, kidney or stomach, and forms a single connected</w:t>
      </w:r>
      <w:r>
        <w:t xml:space="preserve"> </w:t>
      </w:r>
      <w:r>
        <w:t xml:space="preserve">component, so no accessory spleen was included. Their mean densities, 1.052 to 1.078</w:t>
      </w:r>
      <w:r>
        <w:t xml:space="preserve"> </w:t>
      </w:r>
      <w:r>
        <w:t xml:space="preserve">g/cm³, are unremarkable for splenic tissue, so the elevation arises from segmented volume</w:t>
      </w:r>
      <w:r>
        <w:t xml:space="preserve"> </w:t>
      </w:r>
      <w:r>
        <w:t xml:space="preserve">rather than from the density model; and the spleen is the best-segmented of these organs</w:t>
      </w:r>
      <w:r>
        <w:t xml:space="preserve"> </w:t>
      </w:r>
      <w:r>
        <w:t xml:space="preserve">in the segmenter’s validation. The cases arise on four different manufacturers. The cohort</w:t>
      </w:r>
      <w:r>
        <w:t xml:space="preserve"> </w:t>
      </w:r>
      <w:r>
        <w:t xml:space="preserve">is oncological — renal cell, colorectal and adrenal carcinoma — in which splenomegaly is</w:t>
      </w:r>
      <w:r>
        <w:t xml:space="preserve"> </w:t>
      </w:r>
      <w:r>
        <w:t xml:space="preserve">common, and the ICRP reference adult is not that population. The observed elevation was</w:t>
      </w:r>
      <w:r>
        <w:t xml:space="preserve"> </w:t>
      </w:r>
      <w:r>
        <w:t xml:space="preserve">most consistent with cohort anatomy among the explanations examined, although</w:t>
      </w:r>
      <w:r>
        <w:t xml:space="preserve"> </w:t>
      </w:r>
      <w:r>
        <w:t xml:space="preserve">subject-level pathological confirmation was unavailable.</w:t>
      </w:r>
    </w:p>
    <w:p>
      <w:pPr>
        <w:pStyle w:val="BodyText"/>
      </w:pPr>
      <w:r>
        <w:rPr>
          <w:b/>
          <w:bCs/>
        </w:rPr>
        <w:t xml:space="preserve">Availability in archived headers, and its confounders.</w:t>
      </w:r>
      <w:r>
        <w:t xml:space="preserve"> </w:t>
      </w:r>
      <w:r>
        <w:t xml:space="preserve">In this sample, availability of</w:t>
      </w:r>
      <w:r>
        <w:t xml:space="preserve"> </w:t>
      </w:r>
      <w:r>
        <w:t xml:space="preserve">a recorded CTDIvol differed markedly with manufacturer. This is an observation about</w:t>
      </w:r>
      <w:r>
        <w:t xml:space="preserve"> </w:t>
      </w:r>
      <w:r>
        <w:t xml:space="preserve">archived DICOM headers in one curated archive, not a statement about scanner</w:t>
      </w:r>
      <w:r>
        <w:t xml:space="preserve"> </w:t>
      </w:r>
      <w:r>
        <w:t xml:space="preserve">implementations. The present design cannot distinguish between scanner implementation,</w:t>
      </w:r>
      <w:r>
        <w:t xml:space="preserve"> </w:t>
      </w:r>
      <w:r>
        <w:t xml:space="preserve">scanner generation, acquisition site, DICOM export pathway, PACS processing,</w:t>
      </w:r>
      <w:r>
        <w:t xml:space="preserve"> </w:t>
      </w:r>
      <w:r>
        <w:t xml:space="preserve">de-identification, archive curation and collection composition as the origin of a missing</w:t>
      </w:r>
      <w:r>
        <w:t xml:space="preserve"> </w:t>
      </w:r>
      <w:r>
        <w:t xml:space="preserve">attribute; several of these are confounded with manufacturer through collection</w:t>
      </w:r>
      <w:r>
        <w:t xml:space="preserve"> </w:t>
      </w:r>
      <w:r>
        <w:t xml:space="preserve">membership. The practical consequence stands regardless of cause: a retrospective</w:t>
      </w:r>
      <w:r>
        <w:t xml:space="preserve"> </w:t>
      </w:r>
      <w:r>
        <w:t xml:space="preserve">organ-level analysis drawn from an archive will lose a manufacturer-associated fraction of</w:t>
      </w:r>
      <w:r>
        <w:t xml:space="preserve"> </w:t>
      </w:r>
      <w:r>
        <w:t xml:space="preserve">its cohort before segmentation is considered, and a study that does not report which</w:t>
      </w:r>
      <w:r>
        <w:t xml:space="preserve"> </w:t>
      </w:r>
      <w:r>
        <w:t xml:space="preserve">series were lost will under-represent that manufacturer silently.</w:t>
      </w:r>
    </w:p>
    <w:p>
      <w:pPr>
        <w:pStyle w:val="BodyText"/>
      </w:pPr>
      <w:r>
        <w:rPr>
          <w:b/>
          <w:bCs/>
        </w:rPr>
        <w:t xml:space="preserve">Why acquisition constancy has to be screened.</w:t>
      </w:r>
      <w:r>
        <w:t xml:space="preserve"> </w:t>
      </w:r>
      <w:r>
        <w:t xml:space="preserve">The acquisition-constancy criterion</w:t>
      </w:r>
      <w:r>
        <w:t xml:space="preserve"> </w:t>
      </w:r>
      <w:r>
        <w:t xml:space="preserve">identified one series in which tube current alone was not proportional to scanner output,</w:t>
      </w:r>
      <w:r>
        <w:t xml:space="preserve"> </w:t>
      </w:r>
      <w:r>
        <w:t xml:space="preserve">because the acquisition changed rotation and exposure time part-way through. Excluding it</w:t>
      </w:r>
      <w:r>
        <w:t xml:space="preserve"> </w:t>
      </w:r>
      <w:r>
        <w:t xml:space="preserve">prevents a mixed acquisition from entering the quantitative modulation analysis, and</w:t>
      </w:r>
      <w:r>
        <w:t xml:space="preserve"> </w:t>
      </w:r>
      <w:r>
        <w:t xml:space="preserve">illustrates why constancy must be verified rather than assumed: nothing in the images, the</w:t>
      </w:r>
      <w:r>
        <w:t xml:space="preserve"> </w:t>
      </w:r>
      <w:r>
        <w:t xml:space="preserve">segmentation or the weights themselves would have revealed it. A current–time product</w:t>
      </w:r>
      <w:r>
        <w:t xml:space="preserve"> </w:t>
      </w:r>
      <w:r>
        <w:t xml:space="preserve">would be the more faithful weighting in general; it is not adopted here because exposure</w:t>
      </w:r>
      <w:r>
        <w:t xml:space="preserve"> </w:t>
      </w:r>
      <w:r>
        <w:t xml:space="preserve">time is absent from the archived headers of one other series and could not be applied</w:t>
      </w:r>
      <w:r>
        <w:t xml:space="preserve"> </w:t>
      </w:r>
      <w:r>
        <w:t xml:space="preserve">uniformly across the cohort.</w:t>
      </w:r>
    </w:p>
    <w:p>
      <w:pPr>
        <w:pStyle w:val="BodyText"/>
      </w:pPr>
      <w:r>
        <w:rPr>
          <w:b/>
          <w:bCs/>
        </w:rPr>
        <w:t xml:space="preserve">Reproducibility and open implementation.</w:t>
      </w:r>
      <w:r>
        <w:t xml:space="preserve"> </w:t>
      </w:r>
      <w:r>
        <w:t xml:space="preserve">The implementation is MIT-licensed, no</w:t>
      </w:r>
      <w:r>
        <w:t xml:space="preserve"> </w:t>
      </w:r>
      <w:r>
        <w:t xml:space="preserve">imaging is redistributed, and every reported value is re-derived from the per-series</w:t>
      </w:r>
      <w:r>
        <w:t xml:space="preserve"> </w:t>
      </w:r>
      <w:r>
        <w:t xml:space="preserve">records by an automated test suite that regenerates the analysis tables and compares them.</w:t>
      </w:r>
      <w:r>
        <w:t xml:space="preserve"> </w:t>
      </w:r>
      <w:r>
        <w:t xml:space="preserve">The acquisition procedure, the analysis and the figures are each a single command. The</w:t>
      </w:r>
      <w:r>
        <w:t xml:space="preserve"> </w:t>
      </w:r>
      <w:r>
        <w:t xml:space="preserve">components differ in status and are not claimed as uniformly open: the imaging is publicly</w:t>
      </w:r>
      <w:r>
        <w:t xml:space="preserve"> </w:t>
      </w:r>
      <w:r>
        <w:t xml:space="preserve">accessible under collection-specific licences; the segmentation software and the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 weights are openly redistributable; the normalised-CTDI database is CC BY; the</w:t>
      </w:r>
      <w:r>
        <w:t xml:space="preserve"> </w:t>
      </w:r>
      <w:r>
        <w:t xml:space="preserve">HU-to-density anchor values are used by citation to ICRU Report 44 [8] and Schneider et</w:t>
      </w:r>
      <w:r>
        <w:t xml:space="preserve"> </w:t>
      </w:r>
      <w:r>
        <w:t xml:space="preserve">al. [9] rather than redistributed; and no Monte-Carlo coefficient table is included at all.</w:t>
      </w:r>
    </w:p>
    <w:p>
      <w:pPr>
        <w:pStyle w:val="BodyText"/>
      </w:pPr>
      <w:r>
        <w:rPr>
          <w:b/>
          <w:bCs/>
        </w:rPr>
        <w:t xml:space="preserve">The boundary to absorbed organ dose.</w:t>
      </w:r>
      <w:r>
        <w:t xml:space="preserve"> </w:t>
      </w:r>
      <w:r>
        <w:t xml:space="preserve">Converting an anatomy-weighted index into an</w:t>
      </w:r>
      <w:r>
        <w:t xml:space="preserve"> </w:t>
      </w:r>
      <w:r>
        <w:t xml:space="preserve">absorbed organ dose requires CTDIvol-normalised coefficients with a patient-size</w:t>
      </w:r>
      <w:r>
        <w:t xml:space="preserve"> </w:t>
      </w:r>
      <w:r>
        <w:t xml:space="preserve">correction, of the kind established by Turner et al. [2] and extended over larger patient</w:t>
      </w:r>
      <w:r>
        <w:t xml:space="preserve"> </w:t>
      </w:r>
      <w:r>
        <w:t xml:space="preserve">model libraries by Tian et al. [3], together with the transport considerations listed in</w:t>
      </w:r>
      <w:r>
        <w:t xml:space="preserve"> </w:t>
      </w:r>
      <w:r>
        <w:t xml:space="preserve">Section 2.9. Those coefficient sets are published in subscription journals or distributed</w:t>
      </w:r>
      <w:r>
        <w:t xml:space="preserve"> </w:t>
      </w:r>
      <w:r>
        <w:t xml:space="preserve">with research software under terms granting use but not redistribution, which reflects a</w:t>
      </w:r>
      <w:r>
        <w:t xml:space="preserve"> </w:t>
      </w:r>
      <w:r>
        <w:t xml:space="preserve">publishing convention for Monte-Carlo reference data rather than any deficiency in the</w:t>
      </w:r>
      <w:r>
        <w:t xml:space="preserve"> </w:t>
      </w:r>
      <w:r>
        <w:t xml:space="preserve">coefficients themselves. Normalised-CTDI data of the kind used here to reconstruct a</w:t>
      </w:r>
      <w:r>
        <w:t xml:space="preserve"> </w:t>
      </w:r>
      <w:r>
        <w:t xml:space="preserve">missing whole-scan index has been published under CC BY [4], which shows the convention is</w:t>
      </w:r>
      <w:r>
        <w:t xml:space="preserve"> </w:t>
      </w:r>
      <w:r>
        <w:t xml:space="preserve">movable. The software accordingly refuses to emit a dose in milligray unless supplied with</w:t>
      </w:r>
      <w:r>
        <w:t xml:space="preserve"> </w:t>
      </w:r>
      <w:r>
        <w:t xml:space="preserve">a coefficient table carrying its citation, DOI, licence and source hash.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Ten series per manufacturer supports a median and an interquartile range,</w:t>
      </w:r>
      <w:r>
        <w:t xml:space="preserve"> </w:t>
      </w:r>
      <w:r>
        <w:t xml:space="preserve">not a distributional claim, and series within the archive are not independent with respect</w:t>
      </w:r>
      <w:r>
        <w:t xml:space="preserve"> </w:t>
      </w:r>
      <w:r>
        <w:t xml:space="preserve">to collection, site, scanner model or export pathway. The cohort is oncological and not a</w:t>
      </w:r>
      <w:r>
        <w:t xml:space="preserve"> </w:t>
      </w:r>
      <w:r>
        <w:t xml:space="preserve">reference population. Contrast phase, tube voltage and reconstruction kernel were not</w:t>
      </w:r>
      <w:r>
        <w:t xml:space="preserve"> </w:t>
      </w:r>
      <w:r>
        <w:t xml:space="preserve">controlled, and all affect attenuation-derived mass estimates. A single segmentation model</w:t>
      </w:r>
      <w:r>
        <w:t xml:space="preserve"> </w:t>
      </w:r>
      <w:r>
        <w:t xml:space="preserve">was used, so segmentation behaviour and cohort anatomy cannot be separated. There is no</w:t>
      </w:r>
      <w:r>
        <w:t xml:space="preserve"> </w:t>
      </w:r>
      <w:r>
        <w:t xml:space="preserve">subject-level ground truth for organ mass. Rotation time, pitch and collimation are absent</w:t>
      </w:r>
      <w:r>
        <w:t xml:space="preserve"> </w:t>
      </w:r>
      <w:r>
        <w:t xml:space="preserve">from the archived headers of some series (19, 8 and 9 respectively), so their constancy</w:t>
      </w:r>
      <w:r>
        <w:t xml:space="preserve"> </w:t>
      </w:r>
      <w:r>
        <w:t xml:space="preserve">within those series could not be fully verified and is assumed from the single-acquisition</w:t>
      </w:r>
      <w:r>
        <w:t xml:space="preserve"> </w:t>
      </w:r>
      <w:r>
        <w:t xml:space="preserve">representation; the acquisition-constancy criterion is therefore a screen against</w:t>
      </w:r>
      <w:r>
        <w:t xml:space="preserve"> </w:t>
      </w:r>
      <w:r>
        <w:t xml:space="preserve">detectable violations rather than a guarantee. The index addresses longitudinal modulation</w:t>
      </w:r>
      <w:r>
        <w:t xml:space="preserve"> </w:t>
      </w:r>
      <w:r>
        <w:t xml:space="preserve">only, as set out in Section 2.10, and no absorbed dose is reported.</w:t>
      </w:r>
    </w:p>
    <w:p>
      <w:pPr>
        <w:pStyle w:val="BodyText"/>
      </w:pPr>
      <w:r>
        <w:rPr>
          <w:b/>
          <w:bCs/>
        </w:rPr>
        <w:t xml:space="preserve">Future work.</w:t>
      </w:r>
      <w:r>
        <w:t xml:space="preserve"> </w:t>
      </w:r>
      <w:r>
        <w:t xml:space="preserve">Coefficients computed with an open-source Monte-Carlo engine would carry</w:t>
      </w:r>
      <w:r>
        <w:t xml:space="preserve"> </w:t>
      </w:r>
      <w:r>
        <w:t xml:space="preserve">no licensing constraint and would permit the transport terms this index omits; an</w:t>
      </w:r>
      <w:r>
        <w:t xml:space="preserve"> </w:t>
      </w:r>
      <w:r>
        <w:t xml:space="preserve">independent segmentation model on the same series would separate segmentation behaviour</w:t>
      </w:r>
      <w:r>
        <w:t xml:space="preserve"> </w:t>
      </w:r>
      <w:r>
        <w:t xml:space="preserve">from cohort anatomy for the pancreas and spleen; and a larger archive cohort would allow</w:t>
      </w:r>
      <w:r>
        <w:t xml:space="preserve"> </w:t>
      </w:r>
      <w:r>
        <w:t xml:space="preserve">the availability observation to be examined with collection and site modelled explicitly</w:t>
      </w:r>
      <w:r>
        <w:t xml:space="preserve"> </w:t>
      </w:r>
      <w:r>
        <w:t xml:space="preserve">rather than confounded.</w:t>
      </w:r>
    </w:p>
    <w:bookmarkEnd w:id="44"/>
    <w:bookmarkStart w:id="45" w:name="conclusions"/>
    <w:p>
      <w:pPr>
        <w:pStyle w:val="Heading2"/>
      </w:pPr>
      <w:r>
        <w:t xml:space="preserve">5. Conclusions</w:t>
      </w:r>
    </w:p>
    <w:p>
      <w:pPr>
        <w:pStyle w:val="FirstParagraph"/>
      </w:pPr>
      <w:r>
        <w:t xml:space="preserve">This study did not compute absorbed organ dose. It quantified organ-specific longitudinal</w:t>
      </w:r>
      <w:r>
        <w:t xml:space="preserve"> </w:t>
      </w:r>
      <w:r>
        <w:t xml:space="preserve">tube-current modulation in routine abdominal CT by deriving an anatomy-weighted CTDIvol</w:t>
      </w:r>
      <w:r>
        <w:t xml:space="preserve"> </w:t>
      </w:r>
      <w:r>
        <w:t xml:space="preserve">index from metadata a scanner already records and organ masks obtained at inference.</w:t>
      </w:r>
      <w:r>
        <w:t xml:space="preserve"> </w:t>
      </w:r>
      <w:r>
        <w:t xml:space="preserve">Organ-specific modulation weights spanned 0.59 to 1.69, and two organs within one</w:t>
      </w:r>
      <w:r>
        <w:t xml:space="preserve"> </w:t>
      </w:r>
      <w:r>
        <w:t xml:space="preserve">acquisition differed by a factor of 1.8 in their index, so the variation a single</w:t>
      </w:r>
      <w:r>
        <w:t xml:space="preserve"> </w:t>
      </w:r>
      <w:r>
        <w:t xml:space="preserve">whole-scan value conceals is substantial. The approach ran across four manufacturers using</w:t>
      </w:r>
      <w:r>
        <w:t xml:space="preserve"> </w:t>
      </w:r>
      <w:r>
        <w:t xml:space="preserve">publicly accessible imaging data and openly redistributable software components, and in</w:t>
      </w:r>
      <w:r>
        <w:t xml:space="preserve"> </w:t>
      </w:r>
      <w:r>
        <w:t xml:space="preserve">this archive cohort the availability of the whole-scan CTDIvol the index scales varied</w:t>
      </w:r>
      <w:r>
        <w:t xml:space="preserve"> </w:t>
      </w:r>
      <w:r>
        <w:t xml:space="preserve">markedly between manufacturers, which constrains any retrospective analysis of this kind.</w:t>
      </w:r>
      <w:r>
        <w:t xml:space="preserve"> </w:t>
      </w:r>
      <w:r>
        <w:t xml:space="preserve">The index is a step before conversion to absorbed organ dose, not a substitute for it:</w:t>
      </w:r>
      <w:r>
        <w:t xml:space="preserve"> </w:t>
      </w:r>
      <w:r>
        <w:t xml:space="preserve">that conversion requires Monte-Carlo coefficients and the transport terms this index</w:t>
      </w:r>
      <w:r>
        <w:t xml:space="preserve"> </w:t>
      </w:r>
      <w:r>
        <w:t xml:space="preserve">omits. The implementation and derived records are openly available, provenance-aware and</w:t>
      </w:r>
      <w:r>
        <w:t xml:space="preserve"> </w:t>
      </w:r>
      <w:r>
        <w:t xml:space="preserve">reproducible from the shipped results.</w:t>
      </w:r>
    </w:p>
    <w:bookmarkEnd w:id="45"/>
    <w:bookmarkStart w:id="46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S.Y.: conceptualisation, methodology, software, validation, formal analysis,</w:t>
      </w:r>
      <w:r>
        <w:t xml:space="preserve"> </w:t>
      </w:r>
      <w:r>
        <w:t xml:space="preserve">investigation, data curation, writing — original draft, writing — review and editing,</w:t>
      </w:r>
      <w:r>
        <w:t xml:space="preserve"> </w:t>
      </w:r>
      <w:r>
        <w:t xml:space="preserve">visualisation. The author has read and agreed to the published version of the manuscript.</w:t>
      </w:r>
    </w:p>
    <w:bookmarkEnd w:id="46"/>
    <w:bookmarkStart w:id="47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research received no external funding.</w:t>
      </w:r>
    </w:p>
    <w:bookmarkEnd w:id="47"/>
    <w:bookmarkStart w:id="48" w:name="institutional-review-board-statement"/>
    <w:p>
      <w:pPr>
        <w:pStyle w:val="Heading2"/>
      </w:pPr>
      <w:r>
        <w:t xml:space="preserve">Institutional Review Board Statement</w:t>
      </w:r>
    </w:p>
    <w:p>
      <w:pPr>
        <w:pStyle w:val="FirstParagraph"/>
      </w:pPr>
      <w:r>
        <w:t xml:space="preserve">Not applicable. This study used only publicly available, de-identified imaging from The</w:t>
      </w:r>
      <w:r>
        <w:t xml:space="preserve"> </w:t>
      </w:r>
      <w:r>
        <w:t xml:space="preserve">Cancer Imaging Archive.</w:t>
      </w:r>
    </w:p>
    <w:bookmarkEnd w:id="48"/>
    <w:bookmarkStart w:id="49" w:name="informed-consent-statement"/>
    <w:p>
      <w:pPr>
        <w:pStyle w:val="Heading2"/>
      </w:pPr>
      <w:r>
        <w:t xml:space="preserve">Informed Consent Statement</w:t>
      </w:r>
    </w:p>
    <w:p>
      <w:pPr>
        <w:pStyle w:val="FirstParagraph"/>
      </w:pPr>
      <w:r>
        <w:t xml:space="preserve">Not applicable. This study used only publicly available, de-identified imaging from The</w:t>
      </w:r>
      <w:r>
        <w:t xml:space="preserve"> </w:t>
      </w:r>
      <w:r>
        <w:t xml:space="preserve">Cancer Imaging Archive.</w:t>
      </w:r>
    </w:p>
    <w:bookmarkEnd w:id="49"/>
    <w:bookmarkStart w:id="50" w:name="data-availability-statement"/>
    <w:p>
      <w:pPr>
        <w:pStyle w:val="Heading2"/>
      </w:pPr>
      <w:r>
        <w:t xml:space="preserve">Data Availability Statement</w:t>
      </w:r>
    </w:p>
    <w:p>
      <w:pPr>
        <w:pStyle w:val="FirstParagraph"/>
      </w:pPr>
      <w:r>
        <w:t xml:space="preserve">The software supporting this study,</w:t>
      </w:r>
      <w:r>
        <w:t xml:space="preserve"> </w:t>
      </w:r>
      <w:r>
        <w:rPr>
          <w:rStyle w:val="VerbatimChar"/>
        </w:rPr>
        <w:t xml:space="preserve">ctsegdose-core</w:t>
      </w:r>
      <w:r>
        <w:t xml:space="preserve">, is openly available under the MIT</w:t>
      </w:r>
      <w:r>
        <w:t xml:space="preserve"> </w:t>
      </w:r>
      <w:r>
        <w:t xml:space="preserve">licence at https://github.com/Institute-of-One/ctsegdose-core, release</w:t>
      </w:r>
      <w:r>
        <w:t xml:space="preserve"> </w:t>
      </w:r>
      <w:r>
        <w:t xml:space="preserve">[[ pending: RELEASE_TAG ]] (commit [[ pending: COMMIT_HASH ]]), archived at Zenodo under</w:t>
      </w:r>
      <w:r>
        <w:t xml:space="preserve"> </w:t>
      </w:r>
      <w:r>
        <w:t xml:space="preserve">[[ pending: ZENODO_VERSION_DOI ]]. The machine-readable results the manuscript quotes, the per-organ</w:t>
      </w:r>
      <w:r>
        <w:t xml:space="preserve"> </w:t>
      </w:r>
      <w:r>
        <w:t xml:space="preserve">records, the analysis tables, the acquisition-parameter check and the figure scripts are</w:t>
      </w:r>
      <w:r>
        <w:t xml:space="preserve"> </w:t>
      </w:r>
      <w:r>
        <w:t xml:space="preserve">included in that repository, together with the mask-review overlays underlying Section 4.</w:t>
      </w:r>
    </w:p>
    <w:p>
      <w:pPr>
        <w:pStyle w:val="BodyText"/>
      </w:pPr>
      <w:r>
        <w:t xml:space="preserve">No DICOM imaging is redistributed. Every series analysed is identified in</w:t>
      </w:r>
      <w:r>
        <w:t xml:space="preserve"> </w:t>
      </w:r>
      <w:r>
        <w:rPr>
          <w:rStyle w:val="VerbatimChar"/>
        </w:rPr>
        <w:t xml:space="preserve">data/PROVENANCE.json</w:t>
      </w:r>
      <w:r>
        <w:t xml:space="preserve"> </w:t>
      </w:r>
      <w:r>
        <w:t xml:space="preserve">by collection, collection DOI, Series Instance UID, manufacturer,</w:t>
      </w:r>
      <w:r>
        <w:t xml:space="preserve"> </w:t>
      </w:r>
      <w:r>
        <w:t xml:space="preserve">model, licence and retrieval date, and is retrievable directly from The Cancer Imaging</w:t>
      </w:r>
      <w:r>
        <w:t xml:space="preserve"> </w:t>
      </w:r>
      <w:r>
        <w:t xml:space="preserve">Archive by following</w:t>
      </w:r>
      <w:r>
        <w:t xml:space="preserve"> </w:t>
      </w:r>
      <w:r>
        <w:rPr>
          <w:rStyle w:val="VerbatimChar"/>
        </w:rPr>
        <w:t xml:space="preserve">docs/REPRODUCING_DATA.md</w:t>
      </w:r>
      <w:r>
        <w:t xml:space="preserve">. The forty series were retrieved under</w:t>
      </w:r>
      <w:r>
        <w:t xml:space="preserve"> </w:t>
      </w:r>
      <w:r>
        <w:t xml:space="preserve">Creative Commons Attribution licences (33 under CC BY 4.0, 7 under CC BY 3.0) as recorded</w:t>
      </w:r>
      <w:r>
        <w:t xml:space="preserve"> </w:t>
      </w:r>
      <w:r>
        <w:t xml:space="preserve">per series; the licence terms of each originating collection and the TCIA Data Usage</w:t>
      </w:r>
      <w:r>
        <w:t xml:space="preserve"> </w:t>
      </w:r>
      <w:r>
        <w:t xml:space="preserve">Policy apply.</w:t>
      </w:r>
    </w:p>
    <w:p>
      <w:pPr>
        <w:pStyle w:val="BodyText"/>
      </w:pPr>
      <w:r>
        <w:t xml:space="preserve">Segmentation used TotalSegmentator [1]. Its software code is distributed under the Apache</w:t>
      </w:r>
      <w:r>
        <w:t xml:space="preserve"> </w:t>
      </w:r>
      <w:r>
        <w:t xml:space="preserve">2.0 licence, and the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 model weights used here are likewise stated by the</w:t>
      </w:r>
      <w:r>
        <w:t xml:space="preserve"> </w:t>
      </w:r>
      <w:r>
        <w:t xml:space="preserve">project to be openly available under Apache 2.0; other tasks in that project require a</w:t>
      </w:r>
      <w:r>
        <w:t xml:space="preserve"> </w:t>
      </w:r>
      <w:r>
        <w:t xml:space="preserve">separate licence and were not used. No model weights are redistributed with this work.</w:t>
      </w:r>
    </w:p>
    <w:p>
      <w:pPr>
        <w:pStyle w:val="BodyText"/>
      </w:pPr>
      <w:r>
        <w:t xml:space="preserve">No organ-dose coefficient table is redistributed, for the licensing reasons set out in</w:t>
      </w:r>
      <w:r>
        <w:t xml:space="preserve"> </w:t>
      </w:r>
      <w:r>
        <w:t xml:space="preserve">Section 4.</w:t>
      </w:r>
    </w:p>
    <w:bookmarkEnd w:id="50"/>
    <w:bookmarkStart w:id="51" w:name="conflicts-of-interest"/>
    <w:p>
      <w:pPr>
        <w:pStyle w:val="Heading2"/>
      </w:pPr>
      <w:r>
        <w:t xml:space="preserve">Conflicts of Interest</w:t>
      </w:r>
    </w:p>
    <w:p>
      <w:pPr>
        <w:pStyle w:val="FirstParagraph"/>
      </w:pPr>
      <w:r>
        <w:t xml:space="preserve">The author is the representative of LISIT Co., Ltd. (Tokyo, Japan) and Chief Executive</w:t>
      </w:r>
      <w:r>
        <w:t xml:space="preserve"> </w:t>
      </w:r>
      <w:r>
        <w:t xml:space="preserve">Officer of TexelCraft OÜ (Estonia), and has a commercial interest in downstream products</w:t>
      </w:r>
      <w:r>
        <w:t xml:space="preserve"> </w:t>
      </w:r>
      <w:r>
        <w:t xml:space="preserve">that may incorporate or build upon the methods described here. The software reported in</w:t>
      </w:r>
      <w:r>
        <w:t xml:space="preserve"> </w:t>
      </w:r>
      <w:r>
        <w:t xml:space="preserve">this article is released under the MIT licence. No patient data, customer data or</w:t>
      </w:r>
      <w:r>
        <w:t xml:space="preserve"> </w:t>
      </w:r>
      <w:r>
        <w:t xml:space="preserve">proprietary clinical data were used; all imaging is publicly available and de-identified.</w:t>
      </w:r>
    </w:p>
    <w:bookmarkEnd w:id="51"/>
    <w:bookmarkStart w:id="52" w:name="X662c2d66dd1eda3268d2087202c966cd73b2601"/>
    <w:p>
      <w:pPr>
        <w:pStyle w:val="Heading2"/>
      </w:pPr>
      <w:r>
        <w:t xml:space="preserve">Use of Generative Artificial Intelligence</w:t>
      </w:r>
    </w:p>
    <w:p>
      <w:pPr>
        <w:pStyle w:val="FirstParagraph"/>
      </w:pPr>
      <w:r>
        <w:t xml:space="preserve">A generative artificial intelligence assistant (Claude, Anthropic) was used as a tool in</w:t>
      </w:r>
      <w:r>
        <w:t xml:space="preserve"> </w:t>
      </w:r>
      <w:r>
        <w:t xml:space="preserve">the development of the software and in drafting and editing the text of this manuscript.</w:t>
      </w:r>
      <w:r>
        <w:t xml:space="preserve"> </w:t>
      </w:r>
      <w:r>
        <w:t xml:space="preserve">All reported results are produced by executable code contained in the cited repository,</w:t>
      </w:r>
      <w:r>
        <w:t xml:space="preserve"> </w:t>
      </w:r>
      <w:r>
        <w:t xml:space="preserve">are re-derived from the underlying per-series records by an automated test suite, and were</w:t>
      </w:r>
      <w:r>
        <w:t xml:space="preserve"> </w:t>
      </w:r>
      <w:r>
        <w:t xml:space="preserve">verified by the author. All scientific judgements, interpretations and conclusions are the</w:t>
      </w:r>
      <w:r>
        <w:t xml:space="preserve"> </w:t>
      </w:r>
      <w:r>
        <w:t xml:space="preserve">author’s, who takes full responsibility for the content of this article.</w:t>
      </w:r>
    </w:p>
    <w:bookmarkEnd w:id="52"/>
    <w:bookmarkStart w:id="5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Wasserthal, J.; Breit, H.-C.; Meyer, M.T.; Pradella, M.; Hinck, D.; Sauter, A.W.; Heye,</w:t>
      </w:r>
      <w:r>
        <w:t xml:space="preserve"> </w:t>
      </w:r>
      <w:r>
        <w:t xml:space="preserve">T.; Boll, D.T.; Cyriac, J.; Yang, S.; Bach, M.; Segeroth, M. TotalSegmentator: Robust</w:t>
      </w:r>
      <w:r>
        <w:t xml:space="preserve"> </w:t>
      </w:r>
      <w:r>
        <w:t xml:space="preserve">Segmentation of 104 Anatomic Structures in CT Images.</w:t>
      </w:r>
      <w:r>
        <w:t xml:space="preserve"> </w:t>
      </w:r>
      <w:r>
        <w:rPr>
          <w:i/>
          <w:iCs/>
        </w:rPr>
        <w:t xml:space="preserve">Radiol. Artif. Intell.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5</w:t>
      </w:r>
      <w:r>
        <w:t xml:space="preserve">, e230024. https://doi.org/10.1148/ryai.230024</w:t>
      </w:r>
    </w:p>
    <w:p>
      <w:pPr>
        <w:pStyle w:val="Compact"/>
        <w:numPr>
          <w:ilvl w:val="0"/>
          <w:numId w:val="1002"/>
        </w:numPr>
      </w:pPr>
      <w:r>
        <w:t xml:space="preserve">Turner, A.C.; Zhang, D.; Khatonabadi, M.; Zankl, M.; DeMarco, J.J.; Cagnon, C.H.; Cody,</w:t>
      </w:r>
      <w:r>
        <w:t xml:space="preserve"> </w:t>
      </w:r>
      <w:r>
        <w:t xml:space="preserve">D.D.; Stevens, D.M.; McCollough, C.H.; McNitt-Gray, M.F. The Feasibility of Patient</w:t>
      </w:r>
      <w:r>
        <w:t xml:space="preserve"> </w:t>
      </w:r>
      <w:r>
        <w:t xml:space="preserve">Size-Corrected, Scanner-Independent Organ Dose Estimates for Abdominal CT Exams.</w:t>
      </w:r>
      <w:r>
        <w:t xml:space="preserve"> </w:t>
      </w:r>
      <w:r>
        <w:rPr>
          <w:i/>
          <w:iCs/>
        </w:rPr>
        <w:t xml:space="preserve">Med.</w:t>
      </w:r>
      <w:r>
        <w:rPr>
          <w:i/>
          <w:iCs/>
        </w:rPr>
        <w:t xml:space="preserve"> </w:t>
      </w:r>
      <w:r>
        <w:rPr>
          <w:i/>
          <w:iCs/>
        </w:rPr>
        <w:t xml:space="preserve">Phys.</w:t>
      </w:r>
      <w:r>
        <w:t xml:space="preserve"> </w:t>
      </w:r>
      <w:r>
        <w:rPr>
          <w:b/>
          <w:bCs/>
        </w:rPr>
        <w:t xml:space="preserve">2011</w:t>
      </w:r>
      <w:r>
        <w:t xml:space="preserve">,</w:t>
      </w:r>
      <w:r>
        <w:t xml:space="preserve"> </w:t>
      </w:r>
      <w:r>
        <w:rPr>
          <w:i/>
          <w:iCs/>
        </w:rPr>
        <w:t xml:space="preserve">38</w:t>
      </w:r>
      <w:r>
        <w:t xml:space="preserve">, 820–829. https://doi.org/10.1118/1.3533897</w:t>
      </w:r>
    </w:p>
    <w:p>
      <w:pPr>
        <w:pStyle w:val="Compact"/>
        <w:numPr>
          <w:ilvl w:val="0"/>
          <w:numId w:val="1002"/>
        </w:numPr>
      </w:pPr>
      <w:r>
        <w:t xml:space="preserve">Tian, X.; Li, X.; Segars, W.P.; Frush, D.P.; Paulson, E.K.; Samei, E. Dose Coefficients</w:t>
      </w:r>
      <w:r>
        <w:t xml:space="preserve"> </w:t>
      </w:r>
      <w:r>
        <w:t xml:space="preserve">in Pediatric and Adult Abdominopelvic CT Based on 100 Patient Models.</w:t>
      </w:r>
      <w:r>
        <w:t xml:space="preserve"> </w:t>
      </w:r>
      <w:r>
        <w:rPr>
          <w:i/>
          <w:iCs/>
        </w:rPr>
        <w:t xml:space="preserve">Phys. Med. Biol.</w:t>
      </w:r>
      <w:r>
        <w:t xml:space="preserve"> </w:t>
      </w:r>
      <w:r>
        <w:rPr>
          <w:b/>
          <w:bCs/>
        </w:rPr>
        <w:t xml:space="preserve">2013</w:t>
      </w:r>
      <w:r>
        <w:t xml:space="preserve">,</w:t>
      </w:r>
      <w:r>
        <w:t xml:space="preserve"> </w:t>
      </w:r>
      <w:r>
        <w:rPr>
          <w:i/>
          <w:iCs/>
        </w:rPr>
        <w:t xml:space="preserve">58</w:t>
      </w:r>
      <w:r>
        <w:t xml:space="preserve">, 8755–8768. https://doi.org/10.1088/0031-9155/58/24/8755</w:t>
      </w:r>
    </w:p>
    <w:p>
      <w:pPr>
        <w:pStyle w:val="Compact"/>
        <w:numPr>
          <w:ilvl w:val="0"/>
          <w:numId w:val="1002"/>
        </w:numPr>
      </w:pPr>
      <w:r>
        <w:t xml:space="preserve">Dinwiddie, L.E.; Baggett, J.M.; Kofler, J.M.; et al. Survey of Normalized CTDIvol Values</w:t>
      </w:r>
      <w:r>
        <w:t xml:space="preserve"> </w:t>
      </w:r>
      <w:r>
        <w:t xml:space="preserve">Across Four Major Computed Tomography Vendors for Use in the MIRDct Software.</w:t>
      </w:r>
      <w:r>
        <w:t xml:space="preserve"> </w:t>
      </w:r>
      <w:r>
        <w:rPr>
          <w:i/>
          <w:iCs/>
        </w:rPr>
        <w:t xml:space="preserve">J. Appl.</w:t>
      </w:r>
      <w:r>
        <w:rPr>
          <w:i/>
          <w:iCs/>
        </w:rPr>
        <w:t xml:space="preserve"> </w:t>
      </w:r>
      <w:r>
        <w:rPr>
          <w:i/>
          <w:iCs/>
        </w:rPr>
        <w:t xml:space="preserve">Clin. Med. Phys.</w:t>
      </w:r>
      <w:r>
        <w:t xml:space="preserve"> </w:t>
      </w:r>
      <w:r>
        <w:rPr>
          <w:b/>
          <w:bCs/>
        </w:rPr>
        <w:t xml:space="preserve">2026</w:t>
      </w:r>
      <w:r>
        <w:t xml:space="preserve">,</w:t>
      </w:r>
      <w:r>
        <w:t xml:space="preserve"> </w:t>
      </w:r>
      <w:r>
        <w:rPr>
          <w:i/>
          <w:iCs/>
        </w:rPr>
        <w:t xml:space="preserve">27</w:t>
      </w:r>
      <w:r>
        <w:t xml:space="preserve">, e70473. https://doi.org/10.1002/acm2.70473</w:t>
      </w:r>
    </w:p>
    <w:p>
      <w:pPr>
        <w:pStyle w:val="Compact"/>
        <w:numPr>
          <w:ilvl w:val="0"/>
          <w:numId w:val="1002"/>
        </w:numPr>
      </w:pPr>
      <w:r>
        <w:t xml:space="preserve">ICRP. Basic Anatomical and Physiological Data for Use in Radiological Protection:</w:t>
      </w:r>
      <w:r>
        <w:t xml:space="preserve"> </w:t>
      </w:r>
      <w:r>
        <w:t xml:space="preserve">Reference Values. ICRP Publication 89.</w:t>
      </w:r>
      <w:r>
        <w:t xml:space="preserve"> </w:t>
      </w:r>
      <w:r>
        <w:rPr>
          <w:i/>
          <w:iCs/>
        </w:rPr>
        <w:t xml:space="preserve">Ann. ICRP</w:t>
      </w:r>
      <w:r>
        <w:t xml:space="preserve"> </w:t>
      </w:r>
      <w:r>
        <w:rPr>
          <w:b/>
          <w:bCs/>
        </w:rPr>
        <w:t xml:space="preserve">2002</w:t>
      </w:r>
      <w:r>
        <w:t xml:space="preserve">,</w:t>
      </w:r>
      <w:r>
        <w:t xml:space="preserve"> </w:t>
      </w:r>
      <w:r>
        <w:rPr>
          <w:i/>
          <w:iCs/>
        </w:rPr>
        <w:t xml:space="preserve">32</w:t>
      </w:r>
      <w:r>
        <w:t xml:space="preserve"> </w:t>
      </w:r>
      <w:r>
        <w:t xml:space="preserve">(3–4).</w:t>
      </w:r>
    </w:p>
    <w:p>
      <w:pPr>
        <w:pStyle w:val="Compact"/>
        <w:numPr>
          <w:ilvl w:val="0"/>
          <w:numId w:val="1002"/>
        </w:numPr>
      </w:pPr>
      <w:r>
        <w:t xml:space="preserve">Yamamoto, S. ctdose-core: open, auditable CT dose surveillance from DICOM, with a</w:t>
      </w:r>
      <w:r>
        <w:t xml:space="preserve"> </w:t>
      </w:r>
      <w:r>
        <w:t xml:space="preserve">physics reconstruction when the dose attributes are missing (Version 0.1.1)</w:t>
      </w:r>
      <w:r>
        <w:t xml:space="preserve"> </w:t>
      </w:r>
      <w:r>
        <w:t xml:space="preserve">[Software]. Zenodo,</w:t>
      </w:r>
      <w:r>
        <w:t xml:space="preserve"> </w:t>
      </w:r>
      <w:r>
        <w:rPr>
          <w:b/>
          <w:bCs/>
        </w:rPr>
        <w:t xml:space="preserve">2026</w:t>
      </w:r>
      <w:r>
        <w:t xml:space="preserve">. https://doi.org/10.5281/zenodo.21636082</w:t>
      </w:r>
    </w:p>
    <w:p>
      <w:pPr>
        <w:pStyle w:val="Compact"/>
        <w:numPr>
          <w:ilvl w:val="0"/>
          <w:numId w:val="1002"/>
        </w:numPr>
      </w:pPr>
      <w:r>
        <w:t xml:space="preserve">McCollough, C.; Bakalyar, D.M.; Bostani, M.; Brady, S.; Boedeker, K.; Boone, J.M.;</w:t>
      </w:r>
      <w:r>
        <w:t xml:space="preserve"> </w:t>
      </w:r>
      <w:r>
        <w:t xml:space="preserve">Chen-Mayer, H.H.; Christianson, O.I.; Leng, S.; Li, B.; et al. Use of Water Equivalent</w:t>
      </w:r>
      <w:r>
        <w:t xml:space="preserve"> </w:t>
      </w:r>
      <w:r>
        <w:t xml:space="preserve">Diameter for Calculating Patient Size and Size-Specific Dose Estimates (SSDE) in CT: The</w:t>
      </w:r>
      <w:r>
        <w:t xml:space="preserve"> </w:t>
      </w:r>
      <w:r>
        <w:t xml:space="preserve">Report of AAPM Task Group 220.</w:t>
      </w:r>
      <w:r>
        <w:t xml:space="preserve"> </w:t>
      </w:r>
      <w:r>
        <w:rPr>
          <w:i/>
          <w:iCs/>
        </w:rPr>
        <w:t xml:space="preserve">AAPM Report No. 220</w:t>
      </w:r>
      <w:r>
        <w:t xml:space="preserve">,</w:t>
      </w:r>
      <w:r>
        <w:t xml:space="preserve"> </w:t>
      </w:r>
      <w:r>
        <w:rPr>
          <w:b/>
          <w:bCs/>
        </w:rPr>
        <w:t xml:space="preserve">2014</w:t>
      </w:r>
      <w:r>
        <w:t xml:space="preserve">.</w:t>
      </w:r>
      <w:r>
        <w:t xml:space="preserve"> </w:t>
      </w:r>
      <w:r>
        <w:t xml:space="preserve">https://doi.org/10.37206/146</w:t>
      </w:r>
    </w:p>
    <w:p>
      <w:pPr>
        <w:pStyle w:val="Compact"/>
        <w:numPr>
          <w:ilvl w:val="0"/>
          <w:numId w:val="1002"/>
        </w:numPr>
      </w:pPr>
      <w:r>
        <w:t xml:space="preserve">ICRU. Tissue Substitutes in Radiation Dosimetry and Measurement. ICRU Report 44; ICRU:</w:t>
      </w:r>
      <w:r>
        <w:t xml:space="preserve"> </w:t>
      </w:r>
      <w:r>
        <w:t xml:space="preserve">Bethesda, MD, USA,</w:t>
      </w:r>
      <w:r>
        <w:t xml:space="preserve"> </w:t>
      </w:r>
      <w:r>
        <w:rPr>
          <w:b/>
          <w:bCs/>
        </w:rPr>
        <w:t xml:space="preserve">1989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Schneider, U.; Pedroni, E.; Lomax, A. The Calibration of CT Hounsfield Units for</w:t>
      </w:r>
      <w:r>
        <w:t xml:space="preserve"> </w:t>
      </w:r>
      <w:r>
        <w:t xml:space="preserve">Radiotherapy Treatment Planning.</w:t>
      </w:r>
      <w:r>
        <w:t xml:space="preserve"> </w:t>
      </w:r>
      <w:r>
        <w:rPr>
          <w:i/>
          <w:iCs/>
        </w:rPr>
        <w:t xml:space="preserve">Phys. Med. Biol.</w:t>
      </w:r>
      <w:r>
        <w:t xml:space="preserve"> </w:t>
      </w:r>
      <w:r>
        <w:rPr>
          <w:b/>
          <w:bCs/>
        </w:rPr>
        <w:t xml:space="preserve">1996</w:t>
      </w:r>
      <w:r>
        <w:t xml:space="preserve">,</w:t>
      </w:r>
      <w:r>
        <w:t xml:space="preserve"> </w:t>
      </w:r>
      <w:r>
        <w:rPr>
          <w:i/>
          <w:iCs/>
        </w:rPr>
        <w:t xml:space="preserve">41</w:t>
      </w:r>
      <w:r>
        <w:t xml:space="preserve">, 111–124.</w:t>
      </w:r>
      <w:r>
        <w:t xml:space="preserve"> </w:t>
      </w:r>
      <w:r>
        <w:t xml:space="preserve">https://doi.org/10.1088/0031-9155/41/1/009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2026-08-06T02:12:10Z</dcterms:created>
  <dcterms:modified xsi:type="dcterms:W3CDTF">2026-08-06T02:12:10Z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