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7.png" ContentType="image/png"/>
  <Override PartName="/word/media/rId2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longitudinal tube-current modulation varies along a patient. We characterised</w:t>
      </w:r>
      <w:r>
        <w:t xml:space="preserve"> </w:t>
      </w:r>
      <w:r>
        <w:t xml:space="preserve">longitudinal tube-current modulation at the organ level by deriving an anatomy-weighted</w:t>
      </w:r>
      <w:r>
        <w:t xml:space="preserve"> </w:t>
      </w:r>
      <w:r>
        <w:t xml:space="preserve">CTDIvol index from routine DICOM metadata and automated organ segmentation; the index is</w:t>
      </w:r>
      <w:r>
        <w:t xml:space="preserve"> </w:t>
      </w:r>
      <w:r>
        <w:t xml:space="preserve">not an estimate of absorbed organ dose. Forty abdominal CT series, ten from each of four</w:t>
      </w:r>
      <w:r>
        <w:t xml:space="preserve"> </w:t>
      </w:r>
      <w:r>
        <w:t xml:space="preserve">manufacturers, were drawn from The Cancer Imaging Archive, and twelve organs segmented</w:t>
      </w:r>
      <w:r>
        <w:t xml:space="preserve"> </w:t>
      </w:r>
      <w:r>
        <w:t xml:space="preserve">with TotalSegmentator at inference only. Of 480 organ–series combinations, 455 records</w:t>
      </w:r>
      <w:r>
        <w:t xml:space="preserve"> </w:t>
      </w:r>
      <w:r>
        <w:t xml:space="preserve">were produced, the remainder organs outside the scanned range; 408 were untruncated and</w:t>
      </w:r>
      <w:r>
        <w:t xml:space="preserve"> </w:t>
      </w:r>
      <w:r>
        <w:t xml:space="preserve">386 admitted an index. Modulation weights spanned 0.59 to 1.69, so the index departs from</w:t>
      </w:r>
      <w:r>
        <w:t xml:space="preserve"> </w:t>
      </w:r>
      <w:r>
        <w:t xml:space="preserve">the whole-scan CTDIvol by up to 70% within one acquisition. A recorded CTDIvol was retained in the archived headers</w:t>
      </w:r>
      <w:r>
        <w:t xml:space="preserve"> </w:t>
      </w:r>
      <w:r>
        <w:t xml:space="preserve">of 29 of 40 series, was reconstructable in 5 and unavailable in 6; availability differed</w:t>
      </w:r>
      <w:r>
        <w:t xml:space="preserve"> </w:t>
      </w:r>
      <w:r>
        <w:t xml:space="preserve">markedly between manufacturers in this sample. Estimated organ mass was broadly consistent</w:t>
      </w:r>
      <w:r>
        <w:t xml:space="preserve"> </w:t>
      </w:r>
      <w:r>
        <w:t xml:space="preserve">with ICRP 89 reference values for liver and kidneys, with pancreas and spleen offsets</w:t>
      </w:r>
      <w:r>
        <w:t xml:space="preserve"> </w:t>
      </w:r>
      <w:r>
        <w:t xml:space="preserve">explored rather than empirically corrected. Conversion to absorbed organ dose requires</w:t>
      </w:r>
      <w:r>
        <w:t xml:space="preserve"> </w:t>
      </w:r>
      <w:r>
        <w:t xml:space="preserve">Monte-Carlo coefficients this index does not replace. The implementation is open and</w:t>
      </w:r>
      <w:r>
        <w:t xml:space="preserve"> </w:t>
      </w:r>
      <w:r>
        <w:t xml:space="preserve">reproducible.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it. The second is that a single value per series cannot express variation along the</w:t>
      </w:r>
      <w:r>
        <w:t xml:space="preserve"> </w:t>
      </w:r>
      <w:r>
        <w:t xml:space="preserve">patient: almost every modern acquisition modulates the tube current longitudinally, so</w:t>
      </w:r>
      <w:r>
        <w:t xml:space="preserve"> </w:t>
      </w:r>
      <w:r>
        <w:t xml:space="preserve">the exposure conditions over the liver and over the bladder are not the same, and one</w:t>
      </w:r>
      <w:r>
        <w:t xml:space="preserve"> </w:t>
      </w:r>
      <w:r>
        <w:t xml:space="preserve">number for the series conceals that.</w:t>
      </w:r>
    </w:p>
    <w:p>
      <w:pPr>
        <w:pStyle w:val="BodyText"/>
      </w:pPr>
      <w:r>
        <w:t xml:space="preserve">The information needed to describe the second is already in the file. The per-slice tube</w:t>
      </w:r>
      <w:r>
        <w:t xml:space="preserve"> </w:t>
      </w:r>
      <w:r>
        <w:t xml:space="preserve">current is written into the image header as X-Ray Tube Current (0018,1151). What has been</w:t>
      </w:r>
      <w:r>
        <w:t xml:space="preserve"> </w:t>
      </w:r>
      <w:r>
        <w:t xml:space="preserve">missing is not the exposure record but the anatomy: to weight the recorded current by an</w:t>
      </w:r>
      <w:r>
        <w:t xml:space="preserve"> </w:t>
      </w:r>
      <w:r>
        <w:t xml:space="preserve">organ’s own longitudinal extent, one must know where that organ lies, slice by slice, in</w:t>
      </w:r>
      <w:r>
        <w:t xml:space="preserve"> </w:t>
      </w:r>
      <w:r>
        <w:t xml:space="preserve">that patient. Manual contouring of a dose-relevant organ set across a multi-vendor cohort</w:t>
      </w:r>
      <w:r>
        <w:t xml:space="preserve"> </w:t>
      </w:r>
      <w:r>
        <w:t xml:space="preserve">has never been practical at scale.</w:t>
      </w:r>
    </w:p>
    <w:p>
      <w:pPr>
        <w:pStyle w:val="BodyText"/>
      </w:pPr>
      <w:r>
        <w:t xml:space="preserve">Deep-learning segmentation removes that obstacle. A general-purpose segmenter such as</w:t>
      </w:r>
      <w:r>
        <w:t xml:space="preserve"> </w:t>
      </w:r>
      <w:r>
        <w:t xml:space="preserve">TotalSegmentator [1] produces abdominal organ masks from a routine series in seconds on a</w:t>
      </w:r>
      <w:r>
        <w:t xml:space="preserve"> </w:t>
      </w:r>
      <w:r>
        <w:t xml:space="preserve">consumer GPU, at inference only. The anatomy is now effectively free.</w:t>
      </w:r>
    </w:p>
    <w:p>
      <w:pPr>
        <w:pStyle w:val="BodyText"/>
      </w:pPr>
      <w:r>
        <w:t xml:space="preserve">This study therefore constructs an</w:t>
      </w:r>
      <w:r>
        <w:t xml:space="preserve"> </w:t>
      </w:r>
      <w:r>
        <w:rPr>
          <w:b/>
          <w:bCs/>
        </w:rPr>
        <w:t xml:space="preserve">anatomy-weighted CTDIvol index</w:t>
      </w:r>
      <w:r>
        <w:t xml:space="preserve">: the whole-scan</w:t>
      </w:r>
      <w:r>
        <w:t xml:space="preserve"> </w:t>
      </w:r>
      <w:r>
        <w:t xml:space="preserve">CTDIvol scaled by a dimensionless, organ-specific weight formed from the recorded</w:t>
      </w:r>
      <w:r>
        <w:t xml:space="preserve"> </w:t>
      </w:r>
      <w:r>
        <w:t xml:space="preserve">per-slice tube current over that organ’s segmented longitudinal extent. The index</w:t>
      </w:r>
      <w:r>
        <w:t xml:space="preserve"> </w:t>
      </w:r>
      <w:r>
        <w:t xml:space="preserve">quantifies organ-specific longitudinal modulation relative to the whole-scan value. It is</w:t>
      </w:r>
      <w:r>
        <w:t xml:space="preserve"> </w:t>
      </w:r>
      <w:r>
        <w:t xml:space="preserve">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2.9 sets out what it does</w:t>
      </w:r>
      <w:r>
        <w:t xml:space="preserve"> </w:t>
      </w:r>
      <w:r>
        <w:t xml:space="preserve">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[2,3].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anatomy-weighted CTDIvol index computed entirely from data a scanner already</w:t>
      </w:r>
      <w:r>
        <w:t xml:space="preserve"> </w:t>
      </w:r>
      <w:r>
        <w:t xml:space="preserve">records, implemented as an openly licensed, provenance-carrying engine.</w:t>
      </w:r>
    </w:p>
    <w:p>
      <w:pPr>
        <w:pStyle w:val="Compact"/>
        <w:numPr>
          <w:ilvl w:val="0"/>
          <w:numId w:val="1001"/>
        </w:numPr>
      </w:pPr>
      <w:r>
        <w:t xml:space="preserve">A quantification of organ-specific longitudinal modulation across four manufacturers,</w:t>
      </w:r>
      <w:r>
        <w:t xml:space="preserve"> </w:t>
      </w:r>
      <w:r>
        <w:t xml:space="preserve">including its range within single acquisitions.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[5].</w:t>
      </w:r>
    </w:p>
    <w:p>
      <w:pPr>
        <w:pStyle w:val="Compact"/>
        <w:numPr>
          <w:ilvl w:val="0"/>
          <w:numId w:val="1001"/>
        </w:numPr>
      </w:pPr>
      <w:r>
        <w:t xml:space="preserve">The practical limits an organ-level modulation analysis must handle: organ truncation</w:t>
      </w:r>
      <w:r>
        <w:t xml:space="preserve"> </w:t>
      </w:r>
      <w:r>
        <w:t xml:space="preserve">at the scan boundary, and acquisitions whose modulation does not vary across the</w:t>
      </w:r>
      <w:r>
        <w:t xml:space="preserve"> </w:t>
      </w:r>
      <w:r>
        <w:t xml:space="preserve">abdomen.</w:t>
      </w:r>
    </w:p>
    <w:bookmarkEnd w:id="10"/>
    <w:bookmarkStart w:id="21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The candidate index was built from 47,181 CT series across 21 abdominal collections, read</w:t>
      </w:r>
      <w:r>
        <w:t xml:space="preserve"> </w:t>
      </w:r>
      <w:r>
        <w:t xml:space="preserve">as series-level JSON with no pixel data. Candidates were seeded from the public-archive</w:t>
      </w:r>
      <w:r>
        <w:t xml:space="preserve"> </w:t>
      </w:r>
      <w:r>
        <w:t xml:space="preserve">survey distributed with the companion software release [6] and supplemented by direct</w:t>
      </w:r>
      <w:r>
        <w:t xml:space="preserve"> </w:t>
      </w:r>
      <w:r>
        <w:t xml:space="preserve">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[7].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[8] and the</w:t>
      </w:r>
      <w:r>
        <w:t xml:space="preserve"> </w:t>
      </w:r>
      <w:r>
        <w:t xml:space="preserve">construction from Schneider et al. [9].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organ’s longitudinal exposure conditions</w:t>
      </w:r>
      <w:r>
        <w:t xml:space="preserve"> </w:t>
      </w:r>
      <w:r>
        <w:t xml:space="preserve">relative to the scan mean, independently of the scanner’s own output.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[4];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7"/>
    <w:bookmarkStart w:id="18" w:name="organ-record-flow"/>
    <w:p>
      <w:pPr>
        <w:pStyle w:val="Heading3"/>
      </w:pPr>
      <w:r>
        <w:t xml:space="preserve">2.8.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 Of the 455 records, 408 are untruncated, and 386 carry</w:t>
      </w:r>
      <w:r>
        <w:t xml:space="preserve"> </w:t>
      </w:r>
      <w:r>
        <w:t xml:space="preserve">an anatomy-weighted index; the remaining 69 records, from 6 series, carry a modulation</w:t>
      </w:r>
      <w:r>
        <w:t xml:space="preserve"> </w:t>
      </w:r>
      <w:r>
        <w:t xml:space="preserve">weight but no index, because those series have no CTDIvol by either route. The external</w:t>
      </w:r>
      <w:r>
        <w:t xml:space="preserve"> </w:t>
      </w:r>
      <w:r>
        <w:t xml:space="preserve">reference-mass comparison uses the 177 untruncated records of the five solid organs. The</w:t>
      </w:r>
      <w:r>
        <w:t xml:space="preserve"> </w:t>
      </w:r>
      <w:r>
        <w:t xml:space="preserve">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8"/>
    <w:bookmarkStart w:id="19" w:name="Xac99610bd1667e2236e31b4cc065aa132b167b5"/>
    <w:p>
      <w:pPr>
        <w:pStyle w:val="Heading3"/>
      </w:pPr>
      <w:r>
        <w:t xml:space="preserve">2.9.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19"/>
    <w:bookmarkStart w:id="20" w:name="verification-and-reproducibility"/>
    <w:p>
      <w:pPr>
        <w:pStyle w:val="Heading3"/>
      </w:pPr>
      <w:r>
        <w:t xml:space="preserve">2.10.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model) on PyTorch 2.11 with CUDA 12.8, pydicom 3.0 and NumPy</w:t>
      </w:r>
      <w:r>
        <w:t xml:space="preserve"> </w:t>
      </w:r>
      <w:r>
        <w:t xml:space="preserve">2.5. Every reported value is re-derived from the per-series records by the test suite,</w:t>
      </w:r>
      <w:r>
        <w:t xml:space="preserve"> </w:t>
      </w:r>
      <w:r>
        <w:t xml:space="preserve">including regenerating the complete analysis table and comparing it. Tables and figures are</w:t>
      </w:r>
      <w:r>
        <w:t xml:space="preserve"> </w:t>
      </w:r>
      <w:r>
        <w:t xml:space="preserve">regenerated by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; the acquisition and</w:t>
      </w:r>
      <w:r>
        <w:t xml:space="preserve"> </w:t>
      </w:r>
      <w:r>
        <w:t xml:space="preserve">organ layers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.</w:t>
      </w:r>
      <w:r>
        <w:t xml:space="preserve"> </w:t>
      </w:r>
      <w:r>
        <w:rPr>
          <w:rStyle w:val="VerbatimChar"/>
        </w:rPr>
        <w:t xml:space="preserve">TODO-AUTHOR:</w:t>
      </w:r>
      <w:r>
        <w:t xml:space="preserve"> </w:t>
      </w:r>
      <w:r>
        <w:t xml:space="preserve">insert the release tag, commit hash and Zenodo version DOI at submission.</w:t>
      </w:r>
    </w:p>
    <w:bookmarkEnd w:id="20"/>
    <w:bookmarkEnd w:id="21"/>
    <w:bookmarkStart w:id="39" w:name="results"/>
    <w:p>
      <w:pPr>
        <w:pStyle w:val="Heading2"/>
      </w:pPr>
      <w:r>
        <w:t xml:space="preserve">3. Results</w:t>
      </w:r>
    </w:p>
    <w:bookmarkStart w:id="2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2.8.</w:t>
      </w:r>
    </w:p>
    <w:bookmarkEnd w:id="22"/>
    <w:bookmarkStart w:id="2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Organ-specific modulation weights across the cohort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3_demonstration_ca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26"/>
    <w:bookmarkStart w:id="3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2).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ose_index_availabil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0"/>
    <w:bookmarkStart w:id="34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1 place attenuation-derived estimated organ mass beside the ICRP 89</w:t>
      </w:r>
      <w:r>
        <w:t xml:space="preserve"> </w:t>
      </w:r>
      <w:r>
        <w:t xml:space="preserve">reference adult male values [5],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1_organ_mass_vs_icrp89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4"/>
    <w:bookmarkStart w:id="38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4).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3 of the 40 series showed a 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study_limi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Peak-to-peak spread of the organ-specific modulation weights within each series;</w:t>
      </w:r>
      <w:r>
        <w:t xml:space="preserve"> </w:t>
      </w:r>
      <w:r>
        <w:t xml:space="preserve">the dashed line is the threshold below which a series carries no usable variation.</w:t>
      </w:r>
    </w:p>
    <w:bookmarkEnd w:id="38"/>
    <w:bookmarkEnd w:id="39"/>
    <w:bookmarkStart w:id="4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this</w:t>
      </w:r>
      <w:r>
        <w:t xml:space="preserve"> </w:t>
      </w:r>
      <w:r>
        <w:t xml:space="preserve">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2.9,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engine is MIT-licensed, no imaging is</w:t>
      </w:r>
      <w:r>
        <w:t xml:space="preserve"> </w:t>
      </w:r>
      <w:r>
        <w:t xml:space="preserve">redistributed, and every reported value is re-derived from the per-series records by an</w:t>
      </w:r>
      <w:r>
        <w:t xml:space="preserve"> </w:t>
      </w:r>
      <w:r>
        <w:t xml:space="preserve">automated test suite that regenerates the analysis tables and compares them. The</w:t>
      </w:r>
      <w:r>
        <w:t xml:space="preserve"> </w:t>
      </w:r>
      <w:r>
        <w:t xml:space="preserve">acquisition procedure, the analysis and the figures are each a single command.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[2] and extended over larger patient</w:t>
      </w:r>
      <w:r>
        <w:t xml:space="preserve"> </w:t>
      </w:r>
      <w:r>
        <w:t xml:space="preserve">model libraries by Tian et al. [3],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[4],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The index addresses longitudinal modulation</w:t>
      </w:r>
      <w:r>
        <w:t xml:space="preserve"> </w:t>
      </w:r>
      <w:r>
        <w:t xml:space="preserve">only, as set out in Section 2.9,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0"/>
    <w:bookmarkStart w:id="41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dose. It quantified organ-specific longitudinal</w:t>
      </w:r>
      <w:r>
        <w:t xml:space="preserve"> </w:t>
      </w:r>
      <w:r>
        <w:t xml:space="preserve">tube-current modulation in routine abdominal CT by deriving an anatomy-weighted CTDIvol</w:t>
      </w:r>
      <w:r>
        <w:t xml:space="preserve"> </w:t>
      </w:r>
      <w:r>
        <w:t xml:space="preserve">index from metadata a scanner 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with</w:t>
      </w:r>
      <w:r>
        <w:t xml:space="preserve"> </w:t>
      </w:r>
      <w:r>
        <w:t xml:space="preserve">openly licensed inputs throughout, and in this archive cohort the availability of the</w:t>
      </w:r>
      <w:r>
        <w:t xml:space="preserve"> </w:t>
      </w:r>
      <w:r>
        <w:t xml:space="preserve">whole-scan CTDIvol the index scales varied markedly between manufacturers, which</w:t>
      </w:r>
      <w:r>
        <w:t xml:space="preserve"> </w:t>
      </w:r>
      <w:r>
        <w:t xml:space="preserve">constrains any retrospective analysis of this kind. The index is a step before conversion</w:t>
      </w:r>
      <w:r>
        <w:t xml:space="preserve"> </w:t>
      </w:r>
      <w:r>
        <w:t xml:space="preserve">to absorbed organ dose, not a substitute for it: that conversion requires Monte-Carlo</w:t>
      </w:r>
      <w:r>
        <w:t xml:space="preserve"> </w:t>
      </w:r>
      <w:r>
        <w:t xml:space="preserve">coefficients and the transport terms this index omits. The implementation is open,</w:t>
      </w:r>
      <w:r>
        <w:t xml:space="preserve"> </w:t>
      </w:r>
      <w:r>
        <w:t xml:space="preserve">provenance-aware and reproducible from the shipped results.</w:t>
      </w:r>
    </w:p>
    <w:bookmarkEnd w:id="41"/>
    <w:bookmarkStart w:id="4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2"/>
    <w:bookmarkStart w:id="4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3"/>
    <w:bookmarkStart w:id="44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4"/>
    <w:bookmarkStart w:id="45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5"/>
    <w:bookmarkStart w:id="4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 and archived at Zenodo</w:t>
      </w:r>
      <w:r>
        <w:t xml:space="preserve"> </w:t>
      </w:r>
      <w:r>
        <w:t xml:space="preserve">(</w:t>
      </w:r>
      <w:r>
        <w:rPr>
          <w:rStyle w:val="VerbatimChar"/>
        </w:rPr>
        <w:t xml:space="preserve">TODO-AUTHOR:</w:t>
      </w:r>
      <w:r>
        <w:t xml:space="preserve"> </w:t>
      </w:r>
      <w:r>
        <w:t xml:space="preserve">version DOI, release tag and commit hash to be inserted at submission).</w:t>
      </w:r>
      <w:r>
        <w:t xml:space="preserve"> </w:t>
      </w:r>
      <w:r>
        <w:t xml:space="preserve">The machine-readable results the manuscript quotes, the per-organ records, the analysis</w:t>
      </w:r>
      <w:r>
        <w:t xml:space="preserve"> </w:t>
      </w:r>
      <w:r>
        <w:t xml:space="preserve">tables and the figure scripts are included in that repository, together with the</w:t>
      </w:r>
      <w:r>
        <w:t xml:space="preserve"> </w:t>
      </w:r>
      <w:r>
        <w:t xml:space="preserve">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46"/>
    <w:bookmarkStart w:id="4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47"/>
    <w:bookmarkStart w:id="48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 Values</w:t>
      </w:r>
      <w:r>
        <w:t xml:space="preserve"> </w:t>
      </w:r>
      <w:r>
        <w:t xml:space="preserve">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</w:t>
      </w:r>
      <w:r>
        <w:rPr>
          <w:i/>
          <w:iCs/>
        </w:rPr>
        <w:t xml:space="preserve"> </w:t>
      </w:r>
      <w:r>
        <w:rPr>
          <w:i/>
          <w:iCs/>
        </w:rPr>
        <w:t xml:space="preserve">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Yamamoto, S. ctsegdose-core’s Companion: ctdose-core — Open, Auditable CT Dose</w:t>
      </w:r>
      <w:r>
        <w:t xml:space="preserve"> </w:t>
      </w:r>
      <w:r>
        <w:t xml:space="preserve">Surveillance from DICOM (Software Release).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</w:t>
      </w:r>
      <w:r>
        <w:t xml:space="preserve"> </w:t>
      </w:r>
      <w:r>
        <w:t xml:space="preserve">https://doi.org/10.5281/zenodo.21636082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 The</w:t>
      </w:r>
      <w:r>
        <w:t xml:space="preserve"> </w:t>
      </w:r>
      <w:r>
        <w:t xml:space="preserve">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2026-08-05T16:02:26Z</dcterms:created>
  <dcterms:modified xsi:type="dcterms:W3CDTF">2026-08-05T16:02:26Z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