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c4f445194b65950b78a7cb479b8c2cb4a020b45"/>
    <w:p>
      <w:pPr>
        <w:pStyle w:val="Heading1"/>
      </w:pPr>
      <w:r>
        <w:t xml:space="preserve">Patient-Specific, Multi-Vendor Organ-Level CT Dose Characterisation from Routine Metadata Using Deep-Learning Segmentation</w:t>
      </w:r>
    </w:p>
    <w:p>
      <w:pPr>
        <w:pStyle w:val="FirstParagraph"/>
      </w:pPr>
      <w:r>
        <w:rPr>
          <w:b/>
          <w:bCs/>
        </w:rPr>
        <w:t xml:space="preserve">Shuji Yamamoto</w:t>
      </w:r>
    </w:p>
    <w:p>
      <w:pPr>
        <w:pStyle w:val="BodyText"/>
      </w:pPr>
      <w:r>
        <w:t xml:space="preserve">Institute of One, LISIT Co., Ltd., Tokyo, Japan; yamamoto@lisit.jp; ORCID 0000-0001-9211-1071</w:t>
      </w:r>
    </w:p>
    <w:p>
      <w:pPr>
        <w:pStyle w:val="BodyText"/>
      </w:pPr>
      <w:r>
        <w:rPr>
          <w:b/>
          <w:bCs/>
        </w:rPr>
        <w:t xml:space="preserve">Correspondence:</w:t>
      </w:r>
      <w:r>
        <w:t xml:space="preserve"> </w:t>
      </w:r>
      <w:r>
        <w:t xml:space="preserve">yamamoto@lisit.jp</w:t>
      </w:r>
    </w:p>
    <w:bookmarkStart w:id="9" w:name="abstract"/>
    <w:p>
      <w:pPr>
        <w:pStyle w:val="Heading2"/>
      </w:pPr>
      <w:r>
        <w:t xml:space="preserve">Abstract</w:t>
      </w:r>
    </w:p>
    <w:p>
      <w:pPr>
        <w:pStyle w:val="FirstParagraph"/>
      </w:pPr>
      <w:r>
        <w:t xml:space="preserve">Whole-scan computed tomography dose indices describe an acquisition rather than the</w:t>
      </w:r>
      <w:r>
        <w:t xml:space="preserve"> </w:t>
      </w:r>
      <w:r>
        <w:t xml:space="preserve">patient, and cannot express how differently organs in one scan are exposed. We</w:t>
      </w:r>
      <w:r>
        <w:t xml:space="preserve"> </w:t>
      </w:r>
      <w:r>
        <w:t xml:space="preserve">characterised CT dose at the organ level from the per-slice tube current a scanner</w:t>
      </w:r>
      <w:r>
        <w:t xml:space="preserve"> </w:t>
      </w:r>
      <w:r>
        <w:t xml:space="preserve">already records, combined with anatomy segmented from the same series. Forty</w:t>
      </w:r>
      <w:r>
        <w:t xml:space="preserve"> </w:t>
      </w:r>
      <w:r>
        <w:t xml:space="preserve">abdominal CT series, ten from each of four manufacturers, were drawn from The Cancer</w:t>
      </w:r>
      <w:r>
        <w:t xml:space="preserve"> </w:t>
      </w:r>
      <w:r>
        <w:t xml:space="preserve">Imaging Archive without bulk download. Twelve organs were segmented with TotalSegmentator</w:t>
      </w:r>
      <w:r>
        <w:t xml:space="preserve"> </w:t>
      </w:r>
      <w:r>
        <w:t xml:space="preserve">at inference only; organ mass came from each patient’s own Hounsfield units, and an</w:t>
      </w:r>
      <w:r>
        <w:t xml:space="preserve"> </w:t>
      </w:r>
      <w:r>
        <w:t xml:space="preserve">organ-specific weighted CTDIvol from the tube current over each organ’s extent. Across</w:t>
      </w:r>
      <w:r>
        <w:t xml:space="preserve"> </w:t>
      </w:r>
      <w:r>
        <w:t xml:space="preserve">455 organ records, segmented mass agreed with ICRP 89 reference values for the liver</w:t>
      </w:r>
      <w:r>
        <w:t xml:space="preserve"> </w:t>
      </w:r>
      <w:r>
        <w:t xml:space="preserve">(ratio 1.06) and kidneys (1.15 and 1.17), with systematic offsets for pancreas (0.61) and</w:t>
      </w:r>
      <w:r>
        <w:t xml:space="preserve"> </w:t>
      </w:r>
      <w:r>
        <w:t xml:space="preserve">spleen (1.72), characterised and attributed rather than adjusted. Organ modulation</w:t>
      </w:r>
      <w:r>
        <w:t xml:space="preserve"> </w:t>
      </w:r>
      <w:r>
        <w:t xml:space="preserve">weights spanned 0.59 to 1.69, so organ-level and whole-scan indices differ by up to about</w:t>
      </w:r>
      <w:r>
        <w:t xml:space="preserve"> </w:t>
      </w:r>
      <w:r>
        <w:t xml:space="preserve">70% within one acquisition. A dose index was recorded in 29 of 40 series, reconstructable</w:t>
      </w:r>
      <w:r>
        <w:t xml:space="preserve"> </w:t>
      </w:r>
      <w:r>
        <w:t xml:space="preserve">in 5, and absent in 6 — all on GE, which recorded none. Extending the chain to absorbed</w:t>
      </w:r>
      <w:r>
        <w:t xml:space="preserve"> </w:t>
      </w:r>
      <w:r>
        <w:t xml:space="preserve">dose is limited by the licensing convention for Monte-Carlo organ-dose coefficients, not</w:t>
      </w:r>
      <w:r>
        <w:t xml:space="preserve"> </w:t>
      </w:r>
      <w:r>
        <w:t xml:space="preserve">by method.</w:t>
      </w:r>
    </w:p>
    <w:p>
      <w:pPr>
        <w:pStyle w:val="BodyText"/>
      </w:pPr>
      <w:r>
        <w:rPr>
          <w:b/>
          <w:bCs/>
        </w:rPr>
        <w:t xml:space="preserve">Keywords:</w:t>
      </w:r>
      <w:r>
        <w:t xml:space="preserve"> </w:t>
      </w:r>
      <w:r>
        <w:t xml:space="preserve">computed tomography; organ dose; tube-current modulation; deep-learning</w:t>
      </w:r>
      <w:r>
        <w:t xml:space="preserve"> </w:t>
      </w:r>
      <w:r>
        <w:t xml:space="preserve">segmentation; TotalSegmentator; size-specific dosimetry; reproducibility; open data</w:t>
      </w:r>
    </w:p>
    <w:bookmarkEnd w:id="9"/>
    <w:bookmarkStart w:id="10" w:name="introduction"/>
    <w:p>
      <w:pPr>
        <w:pStyle w:val="Heading2"/>
      </w:pPr>
      <w:r>
        <w:t xml:space="preserve">1. Introduction</w:t>
      </w:r>
    </w:p>
    <w:p>
      <w:pPr>
        <w:pStyle w:val="FirstParagraph"/>
      </w:pPr>
      <w:r>
        <w:t xml:space="preserve">Two different things are routinely conflated when CT dose is discussed. The first is that</w:t>
      </w:r>
      <w:r>
        <w:t xml:space="preserve"> </w:t>
      </w:r>
      <w:r>
        <w:t xml:space="preserve">a</w:t>
      </w:r>
      <w:r>
        <w:t xml:space="preserve"> </w:t>
      </w:r>
      <w:r>
        <w:rPr>
          <w:i/>
          <w:iCs/>
        </w:rPr>
        <w:t xml:space="preserve">dose index</w:t>
      </w:r>
      <w:r>
        <w:t xml:space="preserve"> </w:t>
      </w:r>
      <w:r>
        <w:t xml:space="preserve">is not a</w:t>
      </w:r>
      <w:r>
        <w:t xml:space="preserve"> </w:t>
      </w:r>
      <w:r>
        <w:rPr>
          <w:i/>
          <w:iCs/>
        </w:rPr>
        <w:t xml:space="preserve">dose</w:t>
      </w:r>
      <w:r>
        <w:t xml:space="preserve">: CTDIvol describes the output of a scanner into a standard</w:t>
      </w:r>
      <w:r>
        <w:t xml:space="preserve"> </w:t>
      </w:r>
      <w:r>
        <w:t xml:space="preserve">cylinder of acrylic, and is a property of the acquisition rather than of the patient in</w:t>
      </w:r>
      <w:r>
        <w:t xml:space="preserve"> </w:t>
      </w:r>
      <w:r>
        <w:t xml:space="preserve">it. The second is that a whole-scan quantity is not an organ quantity: within one</w:t>
      </w:r>
      <w:r>
        <w:t xml:space="preserve"> </w:t>
      </w:r>
      <w:r>
        <w:t xml:space="preserve">abdominal acquisition the liver and the bladder do not receive the same exposure, and no</w:t>
      </w:r>
      <w:r>
        <w:t xml:space="preserve"> </w:t>
      </w:r>
      <w:r>
        <w:t xml:space="preserve">single number for the series can express that difference.</w:t>
      </w:r>
    </w:p>
    <w:p>
      <w:pPr>
        <w:pStyle w:val="BodyText"/>
      </w:pPr>
      <w:r>
        <w:t xml:space="preserve">The information needed to close the second gap is already in the file. Almost every</w:t>
      </w:r>
      <w:r>
        <w:t xml:space="preserve"> </w:t>
      </w:r>
      <w:r>
        <w:t xml:space="preserve">modern CT acquisition uses tube current modulation, and the resulting per-slice current</w:t>
      </w:r>
      <w:r>
        <w:t xml:space="preserve"> </w:t>
      </w:r>
      <w:r>
        <w:t xml:space="preserve">is written into the image header as X-Ray Tube Current (0018,1151). What has been missing</w:t>
      </w:r>
      <w:r>
        <w:t xml:space="preserve"> </w:t>
      </w:r>
      <w:r>
        <w:t xml:space="preserve">is not the exposure record but the anatomy: to weight an organ by the current delivered</w:t>
      </w:r>
      <w:r>
        <w:t xml:space="preserve"> </w:t>
      </w:r>
      <w:r>
        <w:t xml:space="preserve">over its own extent, one must know where that organ is, slice by slice, in that patient.</w:t>
      </w:r>
      <w:r>
        <w:t xml:space="preserve"> </w:t>
      </w:r>
      <w:r>
        <w:t xml:space="preserve">Manual contouring of a dose-relevant organ set across a multi-vendor cohort has never</w:t>
      </w:r>
      <w:r>
        <w:t xml:space="preserve"> </w:t>
      </w:r>
      <w:r>
        <w:t xml:space="preserve">been practical at scale.</w:t>
      </w:r>
    </w:p>
    <w:p>
      <w:pPr>
        <w:pStyle w:val="BodyText"/>
      </w:pPr>
      <w:r>
        <w:t xml:space="preserve">Deep-learning segmentation removes that obstacle. A general-purpose segmenter such as</w:t>
      </w:r>
      <w:r>
        <w:t xml:space="preserve"> </w:t>
      </w:r>
      <w:r>
        <w:t xml:space="preserve">TotalSegmentator [1] produces abdominal organ masks from a routine series in seconds on a</w:t>
      </w:r>
      <w:r>
        <w:t xml:space="preserve"> </w:t>
      </w:r>
      <w:r>
        <w:t xml:space="preserve">consumer GPU, at inference only and under a permissive licence. The anatomy is now</w:t>
      </w:r>
      <w:r>
        <w:t xml:space="preserve"> </w:t>
      </w:r>
      <w:r>
        <w:t xml:space="preserve">effectively free.</w:t>
      </w:r>
    </w:p>
    <w:p>
      <w:pPr>
        <w:pStyle w:val="BodyText"/>
      </w:pPr>
      <w:r>
        <w:t xml:space="preserve">What is not free is the final conversion. Turning an organ-level dose</w:t>
      </w:r>
      <w:r>
        <w:t xml:space="preserve"> </w:t>
      </w:r>
      <w:r>
        <w:rPr>
          <w:i/>
          <w:iCs/>
        </w:rPr>
        <w:t xml:space="preserve">index</w:t>
      </w:r>
      <w:r>
        <w:t xml:space="preserve"> </w:t>
      </w:r>
      <w:r>
        <w:t xml:space="preserve">into an</w:t>
      </w:r>
      <w:r>
        <w:t xml:space="preserve"> </w:t>
      </w:r>
      <w:r>
        <w:t xml:space="preserve">absorbed organ dose in milligray requires CTDIvol-normalised organ-dose coefficients,</w:t>
      </w:r>
      <w:r>
        <w:t xml:space="preserve"> </w:t>
      </w:r>
      <w:r>
        <w:t xml:space="preserve">computed by Monte-Carlo simulation over anthropomorphic phantoms and corrected for</w:t>
      </w:r>
      <w:r>
        <w:t xml:space="preserve"> </w:t>
      </w:r>
      <w:r>
        <w:t xml:space="preserve">patient size [2,3]. Such coefficient sets exist, are well validated, and are in routine</w:t>
      </w:r>
      <w:r>
        <w:t xml:space="preserve"> </w:t>
      </w:r>
      <w:r>
        <w:t xml:space="preserve">use. They are, however, distributed under terms that do not permit onward distribution:</w:t>
      </w:r>
      <w:r>
        <w:t xml:space="preserve"> </w:t>
      </w:r>
      <w:r>
        <w:t xml:space="preserve">published in subscription journals, or bundled with research software licensed for use</w:t>
      </w:r>
      <w:r>
        <w:t xml:space="preserve"> </w:t>
      </w:r>
      <w:r>
        <w:t xml:space="preserve">rather than redistribution. Open licensing has not become the convention for this class</w:t>
      </w:r>
      <w:r>
        <w:t xml:space="preserve"> </w:t>
      </w:r>
      <w:r>
        <w:t xml:space="preserve">of reference data — in contrast to, for example, the normalised-CTDI database on which</w:t>
      </w:r>
      <w:r>
        <w:t xml:space="preserve"> </w:t>
      </w:r>
      <w:r>
        <w:t xml:space="preserve">the whole-scan index can now be rebuilt [4], which shows that the alternative is</w:t>
      </w:r>
      <w:r>
        <w:t xml:space="preserve"> </w:t>
      </w:r>
      <w:r>
        <w:t xml:space="preserve">practicable rather than hypothetical.</w:t>
      </w:r>
    </w:p>
    <w:p>
      <w:pPr>
        <w:pStyle w:val="BodyText"/>
      </w:pPr>
      <w:r>
        <w:t xml:space="preserve">The consequence is structural, not incidental. An openly licensed measurement chain can</w:t>
      </w:r>
      <w:r>
        <w:t xml:space="preserve"> </w:t>
      </w:r>
      <w:r>
        <w:t xml:space="preserve">be assembled from the scanner to an organ-level dose index and no further, and that</w:t>
      </w:r>
      <w:r>
        <w:t xml:space="preserve"> </w:t>
      </w:r>
      <w:r>
        <w:t xml:space="preserve">boundary sits in the field rather than in any particular implementation. We treat it as</w:t>
      </w:r>
      <w:r>
        <w:t xml:space="preserve"> </w:t>
      </w:r>
      <w:r>
        <w:t xml:space="preserve">an observation this study reports, not as a limitation it apologises for.</w:t>
      </w:r>
    </w:p>
    <w:p>
      <w:pPr>
        <w:pStyle w:val="BodyText"/>
      </w:pPr>
      <w:r>
        <w:t xml:space="preserve">This study therefore does three things. It computes a patient-specific, anatomy-aware</w:t>
      </w:r>
      <w:r>
        <w:t xml:space="preserve"> </w:t>
      </w:r>
      <w:r>
        <w:t xml:space="preserve">organ dose index end to end from routine metadata across four manufacturers. It</w:t>
      </w:r>
      <w:r>
        <w:t xml:space="preserve"> </w:t>
      </w:r>
      <w:r>
        <w:t xml:space="preserve">calibrates the segmented anatomy that index rests on against a published reference,</w:t>
      </w:r>
      <w:r>
        <w:t xml:space="preserve"> </w:t>
      </w:r>
      <w:r>
        <w:t xml:space="preserve">reporting the disagreements rather than tuning them away. And it measures, at the organ</w:t>
      </w:r>
      <w:r>
        <w:t xml:space="preserve"> </w:t>
      </w:r>
      <w:r>
        <w:t xml:space="preserve">level, how often the necessary inputs are actually present in archived clinical data,</w:t>
      </w:r>
      <w:r>
        <w:t xml:space="preserve"> </w:t>
      </w:r>
      <w:r>
        <w:t xml:space="preserve">which turns out to differ sharply by manufacturer. Specifically, the contributions are:</w:t>
      </w:r>
    </w:p>
    <w:p>
      <w:pPr>
        <w:pStyle w:val="Compact"/>
        <w:numPr>
          <w:ilvl w:val="0"/>
          <w:numId w:val="1001"/>
        </w:numPr>
      </w:pPr>
      <w:r>
        <w:t xml:space="preserve">An anatomy-aware, patient-specific organ dose index computed entirely from data a</w:t>
      </w:r>
      <w:r>
        <w:t xml:space="preserve"> </w:t>
      </w:r>
      <w:r>
        <w:t xml:space="preserve">scanner already records, implemented as an openly licensed, provenance-carrying engine.</w:t>
      </w:r>
    </w:p>
    <w:p>
      <w:pPr>
        <w:pStyle w:val="Compact"/>
        <w:numPr>
          <w:ilvl w:val="0"/>
          <w:numId w:val="1001"/>
        </w:numPr>
      </w:pPr>
      <w:r>
        <w:t xml:space="preserve">A multi-vendor calibration of the segmented organ masses against ICRP 89 reference</w:t>
      </w:r>
      <w:r>
        <w:t xml:space="preserve"> </w:t>
      </w:r>
      <w:r>
        <w:t xml:space="preserve">masses [5], with two systematic offsets characterised and attributed.</w:t>
      </w:r>
    </w:p>
    <w:p>
      <w:pPr>
        <w:pStyle w:val="Compact"/>
        <w:numPr>
          <w:ilvl w:val="0"/>
          <w:numId w:val="1001"/>
        </w:numPr>
      </w:pPr>
      <w:r>
        <w:t xml:space="preserve">A per-manufacturer measurement, at the organ level, of whether a dose index is</w:t>
      </w:r>
      <w:r>
        <w:t xml:space="preserve"> </w:t>
      </w:r>
      <w:r>
        <w:t xml:space="preserve">recorded, reconstructable, or absent altogether.</w:t>
      </w:r>
    </w:p>
    <w:p>
      <w:pPr>
        <w:pStyle w:val="Compact"/>
        <w:numPr>
          <w:ilvl w:val="0"/>
          <w:numId w:val="1001"/>
        </w:numPr>
      </w:pPr>
      <w:r>
        <w:t xml:space="preserve">The practical limits an organ-level modulation study must handle: organ truncation at</w:t>
      </w:r>
      <w:r>
        <w:t xml:space="preserve"> </w:t>
      </w:r>
      <w:r>
        <w:t xml:space="preserve">the scan boundary, and acquisitions whose modulation does not vary across the abdomen.</w:t>
      </w:r>
    </w:p>
    <w:p>
      <w:pPr>
        <w:pStyle w:val="Compact"/>
        <w:numPr>
          <w:ilvl w:val="0"/>
          <w:numId w:val="1001"/>
        </w:numPr>
      </w:pPr>
      <w:r>
        <w:t xml:space="preserve">An explicit statement of where openness runs out, with the coefficient licensing</w:t>
      </w:r>
      <w:r>
        <w:t xml:space="preserve"> </w:t>
      </w:r>
      <w:r>
        <w:t xml:space="preserve">convention documented as a result.</w:t>
      </w:r>
    </w:p>
    <w:bookmarkEnd w:id="10"/>
    <w:bookmarkStart w:id="19" w:name="materials-and-methods"/>
    <w:p>
      <w:pPr>
        <w:pStyle w:val="Heading2"/>
      </w:pPr>
      <w:r>
        <w:t xml:space="preserve">2. Materials and Methods</w:t>
      </w:r>
    </w:p>
    <w:bookmarkStart w:id="11" w:name="data-selection-without-bulk-download"/>
    <w:p>
      <w:pPr>
        <w:pStyle w:val="Heading3"/>
      </w:pPr>
      <w:r>
        <w:t xml:space="preserve">2.1. Data Selection Without Bulk Download</w:t>
      </w:r>
    </w:p>
    <w:p>
      <w:pPr>
        <w:pStyle w:val="FirstParagraph"/>
      </w:pPr>
      <w:r>
        <w:t xml:space="preserve">Public imaging archives are large, and the naive retrieval path is prohibitive: handing a</w:t>
      </w:r>
      <w:r>
        <w:t xml:space="preserve"> </w:t>
      </w:r>
      <w:r>
        <w:t xml:space="preserve">collection manifest to a bulk downloader fetches an entire collection, which for the</w:t>
      </w:r>
      <w:r>
        <w:t xml:space="preserve"> </w:t>
      </w:r>
      <w:r>
        <w:t xml:space="preserve">low-dose CT collection is of the order of 600 GB, most of it raw projection data</w:t>
      </w:r>
      <w:r>
        <w:t xml:space="preserve"> </w:t>
      </w:r>
      <w:r>
        <w:t xml:space="preserve">irrelevant to this work. We therefore used a metadata-first procedure over the public</w:t>
      </w:r>
      <w:r>
        <w:t xml:space="preserve"> </w:t>
      </w:r>
      <w:r>
        <w:t xml:space="preserve">NBIA REST API with four stages — index, screen, probe, download — in which only the last</w:t>
      </w:r>
      <w:r>
        <w:t xml:space="preserve"> </w:t>
      </w:r>
      <w:r>
        <w:t xml:space="preserve">transfers a series, and only for series already shown to carry what the method needs.</w:t>
      </w:r>
    </w:p>
    <w:p>
      <w:pPr>
        <w:pStyle w:val="BodyText"/>
      </w:pPr>
      <w:r>
        <w:t xml:space="preserve">The candidate index was built from 47,181 CT series across 21 abdominal collections, read</w:t>
      </w:r>
      <w:r>
        <w:t xml:space="preserve"> </w:t>
      </w:r>
      <w:r>
        <w:t xml:space="preserve">as series-level JSON with no pixel data. Candidates were seeded from the public-archive</w:t>
      </w:r>
      <w:r>
        <w:t xml:space="preserve"> </w:t>
      </w:r>
      <w:r>
        <w:t xml:space="preserve">survey of the companion whole-scan study [6], which had catalogued 400 series over the</w:t>
      </w:r>
      <w:r>
        <w:t xml:space="preserve"> </w:t>
      </w:r>
      <w:r>
        <w:t xml:space="preserve">same four manufacturers through the same API, and supplemented by direct collection</w:t>
      </w:r>
      <w:r>
        <w:t xml:space="preserve"> </w:t>
      </w:r>
      <w:r>
        <w:t xml:space="preserve">queries. A metadata screen then rejected, in order and with each rejection counted:</w:t>
      </w:r>
      <w:r>
        <w:t xml:space="preserve"> </w:t>
      </w:r>
      <w:r>
        <w:t xml:space="preserve">non-patient collections (imaging phantoms and de-identification benchmarks); projection</w:t>
      </w:r>
      <w:r>
        <w:t xml:space="preserve"> </w:t>
      </w:r>
      <w:r>
        <w:t xml:space="preserve">and raw-data series, of which 398 were refused at this stage; non-diagnostic series</w:t>
      </w:r>
      <w:r>
        <w:t xml:space="preserve"> </w:t>
      </w:r>
      <w:r>
        <w:t xml:space="preserve">(localisers, dose reports, screen captures); series shorter than 40 or longer than 1200</w:t>
      </w:r>
      <w:r>
        <w:t xml:space="preserve"> </w:t>
      </w:r>
      <w:r>
        <w:t xml:space="preserve">images; and series outside the abdomen. One series was retained per patient per</w:t>
      </w:r>
      <w:r>
        <w:t xml:space="preserve"> </w:t>
      </w:r>
      <w:r>
        <w:t xml:space="preserve">collection, and each manufacturer’s quota was drawn round-robin across its collections so</w:t>
      </w:r>
      <w:r>
        <w:t xml:space="preserve"> </w:t>
      </w:r>
      <w:r>
        <w:t xml:space="preserve">that manufacturer was not confounded with a single site or protocol.</w:t>
      </w:r>
    </w:p>
    <w:bookmarkEnd w:id="11"/>
    <w:bookmarkStart w:id="12" w:name="inclusion-criteria-and-header-probing"/>
    <w:p>
      <w:pPr>
        <w:pStyle w:val="Heading3"/>
      </w:pPr>
      <w:r>
        <w:t xml:space="preserve">2.2. Inclusion Criteria and Header Probing</w:t>
      </w:r>
    </w:p>
    <w:p>
      <w:pPr>
        <w:pStyle w:val="FirstParagraph"/>
      </w:pPr>
      <w:r>
        <w:t xml:space="preserve">Sixty-two surviving candidates were probed by fetching six image headers each — a few</w:t>
      </w:r>
      <w:r>
        <w:t xml:space="preserve"> </w:t>
      </w:r>
      <w:r>
        <w:t xml:space="preserve">megabytes per series rather than hundreds — and judged on four requirements: per-slice</w:t>
      </w:r>
      <w:r>
        <w:t xml:space="preserve"> </w:t>
      </w:r>
      <w:r>
        <w:t xml:space="preserve">tube current present on</w:t>
      </w:r>
      <w:r>
        <w:t xml:space="preserve"> </w:t>
      </w:r>
      <w:r>
        <w:rPr>
          <w:i/>
          <w:iCs/>
        </w:rPr>
        <w:t xml:space="preserve">every</w:t>
      </w:r>
      <w:r>
        <w:t xml:space="preserve"> </w:t>
      </w:r>
      <w:r>
        <w:t xml:space="preserve">probed slice; that current genuinely modulated</w:t>
      </w:r>
      <w:r>
        <w:t xml:space="preserve"> </w:t>
      </w:r>
      <w:r>
        <w:t xml:space="preserve">(peak-to-peak over mean at least 0.02, so header rounding is not mistaken for</w:t>
      </w:r>
      <w:r>
        <w:t xml:space="preserve"> </w:t>
      </w:r>
      <w:r>
        <w:t xml:space="preserve">modulation); a defined Hounsfield rescale; and a reconstructed-image SOP class with at</w:t>
      </w:r>
      <w:r>
        <w:t xml:space="preserve"> </w:t>
      </w:r>
      <w:r>
        <w:t xml:space="preserve">least 40 slices spanning at least 120 mm. Forty series were kept, ten per manufacturer.</w:t>
      </w:r>
      <w:r>
        <w:t xml:space="preserve"> </w:t>
      </w:r>
      <w:r>
        <w:t xml:space="preserve">Series failing on tube current were counted per manufacturer rather than discarded</w:t>
      </w:r>
      <w:r>
        <w:t xml:space="preserve"> </w:t>
      </w:r>
      <w:r>
        <w:t xml:space="preserve">silently.</w:t>
      </w:r>
    </w:p>
    <w:p>
      <w:pPr>
        <w:pStyle w:val="BodyText"/>
      </w:pPr>
      <w:r>
        <w:t xml:space="preserve">No imaging is redistributed. Each retained series is identified in the shipped provenance</w:t>
      </w:r>
      <w:r>
        <w:t xml:space="preserve"> </w:t>
      </w:r>
      <w:r>
        <w:t xml:space="preserve">record by collection, collection DOI, Series Instance UID, manufacturer, model, licence</w:t>
      </w:r>
      <w:r>
        <w:t xml:space="preserve"> </w:t>
      </w:r>
      <w:r>
        <w:t xml:space="preserve">and retrieval date, which is what a reader needs to retrieve the identical data. All forty</w:t>
      </w:r>
      <w:r>
        <w:t xml:space="preserve"> </w:t>
      </w:r>
      <w:r>
        <w:t xml:space="preserve">series are published under Creative Commons Attribution licences.</w:t>
      </w:r>
    </w:p>
    <w:bookmarkEnd w:id="12"/>
    <w:bookmarkStart w:id="13" w:name="resolving-the-slice-grid"/>
    <w:p>
      <w:pPr>
        <w:pStyle w:val="Heading3"/>
      </w:pPr>
      <w:r>
        <w:t xml:space="preserve">2.3. Resolving the Slice Grid</w:t>
      </w:r>
    </w:p>
    <w:p>
      <w:pPr>
        <w:pStyle w:val="FirstParagraph"/>
      </w:pPr>
      <w:r>
        <w:t xml:space="preserve">Organ mass is a voxel count multiplied by a voxel volume, so slice spacing multiplies</w:t>
      </w:r>
      <w:r>
        <w:t xml:space="preserve"> </w:t>
      </w:r>
      <w:r>
        <w:t xml:space="preserve">every mass reported. Two properties of archived series make the obvious calculation</w:t>
      </w:r>
      <w:r>
        <w:t xml:space="preserve"> </w:t>
      </w:r>
      <w:r>
        <w:t xml:space="preserve">wrong, and both are silent.</w:t>
      </w:r>
    </w:p>
    <w:p>
      <w:pPr>
        <w:pStyle w:val="BodyText"/>
      </w:pPr>
      <w:r>
        <w:t xml:space="preserve">First, the file count is not always the position count. One series in this cohort contains</w:t>
      </w:r>
      <w:r>
        <w:t xml:space="preserve"> </w:t>
      </w:r>
      <w:r>
        <w:t xml:space="preserve">160 images at 119 distinct longitudinal positions; taking the spacing as the extent</w:t>
      </w:r>
      <w:r>
        <w:t xml:space="preserve"> </w:t>
      </w:r>
      <w:r>
        <w:t xml:space="preserve">divided by the number of images gives 3.71 mm where the true spacing is 5.0 mm, a 26%</w:t>
      </w:r>
      <w:r>
        <w:t xml:space="preserve"> </w:t>
      </w:r>
      <w:r>
        <w:t xml:space="preserve">error, and stacking the duplicated images repeats anatomy so that organs occupy more</w:t>
      </w:r>
      <w:r>
        <w:t xml:space="preserve"> </w:t>
      </w:r>
      <w:r>
        <w:t xml:space="preserve">slices than they physically do. Both errors inflate organ volume, and neither leaves any</w:t>
      </w:r>
      <w:r>
        <w:t xml:space="preserve"> </w:t>
      </w:r>
      <w:r>
        <w:t xml:space="preserve">trace in the images. We therefore resolve the grid explicitly: one image per position,</w:t>
      </w:r>
      <w:r>
        <w:t xml:space="preserve"> </w:t>
      </w:r>
      <w:r>
        <w:t xml:space="preserve">spacing from the median step between neighbouring positions, and a uniformity check that</w:t>
      </w:r>
      <w:r>
        <w:t xml:space="preserve"> </w:t>
      </w:r>
      <w:r>
        <w:t xml:space="preserve">refuses a series whose steps vary by more than 2%. Two series proved to be a pair of</w:t>
      </w:r>
      <w:r>
        <w:t xml:space="preserve"> </w:t>
      </w:r>
      <w:r>
        <w:t xml:space="preserve">reconstructions interleaved under a single Series Instance UID; for these the largest</w:t>
      </w:r>
      <w:r>
        <w:t xml:space="preserve"> </w:t>
      </w:r>
      <w:r>
        <w:t xml:space="preserve">regular sub-grid was taken, accepted only when it preserves the full longitudinal extent,</w:t>
      </w:r>
      <w:r>
        <w:t xml:space="preserve"> </w:t>
      </w:r>
      <w:r>
        <w:t xml:space="preserve">which distinguishes an interleaved pair from a series with a genuine gap.</w:t>
      </w:r>
    </w:p>
    <w:p>
      <w:pPr>
        <w:pStyle w:val="BodyText"/>
      </w:pPr>
      <w:r>
        <w:t xml:space="preserve">Second, the ordering of the slice axis is not guaranteed. Slice Location (0020,1041) runs</w:t>
      </w:r>
      <w:r>
        <w:t xml:space="preserve"> </w:t>
      </w:r>
      <w:r>
        <w:t xml:space="preserve">opposite in sign to Image Position (Patient) on three of the four manufacturers in this</w:t>
      </w:r>
      <w:r>
        <w:t xml:space="preserve"> </w:t>
      </w:r>
      <w:r>
        <w:t xml:space="preserve">cohort, so a series sorted by the former arrives head-first. The segmentation is</w:t>
      </w:r>
      <w:r>
        <w:t xml:space="preserve"> </w:t>
      </w:r>
      <w:r>
        <w:t xml:space="preserve">unaffected, because the geometry handed to the segmenter is built from patient</w:t>
      </w:r>
      <w:r>
        <w:t xml:space="preserve"> </w:t>
      </w:r>
      <w:r>
        <w:t xml:space="preserve">coordinates; but the array index ceases to mean</w:t>
      </w:r>
      <w:r>
        <w:t xml:space="preserve"> </w:t>
      </w:r>
      <w:r>
        <w:t xml:space="preserve">“towards the head”</w:t>
      </w:r>
      <w:r>
        <w:t xml:space="preserve">, which reverses every</w:t>
      </w:r>
      <w:r>
        <w:t xml:space="preserve"> </w:t>
      </w:r>
      <w:r>
        <w:t xml:space="preserve">reported organ extent and any downstream reasoning about superior and inferior. Volumes</w:t>
      </w:r>
      <w:r>
        <w:t xml:space="preserve"> </w:t>
      </w:r>
      <w:r>
        <w:t xml:space="preserve">are therefore canonicalised so that index zero is the most inferior slice, with the tube</w:t>
      </w:r>
      <w:r>
        <w:t xml:space="preserve"> </w:t>
      </w:r>
      <w:r>
        <w:t xml:space="preserve">current reordered alongside, since I(z) is paired to the slice axis by index.</w:t>
      </w:r>
    </w:p>
    <w:bookmarkEnd w:id="13"/>
    <w:bookmarkStart w:id="14" w:name="reading-hounsfield-units"/>
    <w:p>
      <w:pPr>
        <w:pStyle w:val="Heading3"/>
      </w:pPr>
      <w:r>
        <w:t xml:space="preserve">2.4. Reading Hounsfield Units</w:t>
      </w:r>
    </w:p>
    <w:p>
      <w:pPr>
        <w:pStyle w:val="FirstParagraph"/>
      </w:pPr>
      <w:r>
        <w:t xml:space="preserve">Outside the reconstruction circle an image carries a padding value rather than a</w:t>
      </w:r>
      <w:r>
        <w:t xml:space="preserve"> </w:t>
      </w:r>
      <w:r>
        <w:t xml:space="preserve">measurement, and that value must be replaced with air before anything is measured. The</w:t>
      </w:r>
      <w:r>
        <w:t xml:space="preserve"> </w:t>
      </w:r>
      <w:r>
        <w:t xml:space="preserve">attribute naming it, Pixel Padding Value (0028,0120), has a value representation that</w:t>
      </w:r>
      <w:r>
        <w:t xml:space="preserve"> </w:t>
      </w:r>
      <w:r>
        <w:t xml:space="preserve">depends on Pixel Representation, and this is not reliably honoured: one manufacturer</w:t>
      </w:r>
      <w:r>
        <w:t xml:space="preserve"> </w:t>
      </w:r>
      <w:r>
        <w:t xml:space="preserve">writes 63,536 with an unsigned representation on signed pixel data, which is the two’s</w:t>
      </w:r>
      <w:r>
        <w:t xml:space="preserve"> </w:t>
      </w:r>
      <w:r>
        <w:t xml:space="preserve">complement encoding of the −2000 intended. Read literally, that places the padding</w:t>
      </w:r>
      <w:r>
        <w:t xml:space="preserve"> </w:t>
      </w:r>
      <w:r>
        <w:t xml:space="preserve">threshold above every Hounsfield value in the image, and the volume becomes uniform air.</w:t>
      </w:r>
      <w:r>
        <w:t xml:space="preserve"> </w:t>
      </w:r>
      <w:r>
        <w:t xml:space="preserve">Four of the ten GE series in this cohort were destroyed this way, with no symptom other</w:t>
      </w:r>
      <w:r>
        <w:t xml:space="preserve"> </w:t>
      </w:r>
      <w:r>
        <w:t xml:space="preserve">than a segmenter returning empty masks. We reinterpret the padding value against Pixel</w:t>
      </w:r>
      <w:r>
        <w:t xml:space="preserve"> </w:t>
      </w:r>
      <w:r>
        <w:t xml:space="preserve">Representation, and additionally refuse any padding rule that would blank essentially the</w:t>
      </w:r>
      <w:r>
        <w:t xml:space="preserve"> </w:t>
      </w:r>
      <w:r>
        <w:t xml:space="preserve">whole image — the second safeguard being the more durable one.</w:t>
      </w:r>
    </w:p>
    <w:bookmarkEnd w:id="14"/>
    <w:bookmarkStart w:id="15" w:name="segmentation"/>
    <w:p>
      <w:pPr>
        <w:pStyle w:val="Heading3"/>
      </w:pPr>
      <w:r>
        <w:t xml:space="preserve">2.5. Segmentation</w:t>
      </w:r>
    </w:p>
    <w:p>
      <w:pPr>
        <w:pStyle w:val="FirstParagraph"/>
      </w:pPr>
      <w:r>
        <w:t xml:space="preserve">Twelve dose-relevant abdominal organs were segmented with TotalSegmentator v2.17 [1]</w:t>
      </w:r>
      <w:r>
        <w:t xml:space="preserve"> </w:t>
      </w:r>
      <w:r>
        <w:t xml:space="preserve">using the 1.5 mm full-resolution model, at inference only; no weights were trained,</w:t>
      </w:r>
      <w:r>
        <w:t xml:space="preserve"> </w:t>
      </w:r>
      <w:r>
        <w:t xml:space="preserve">modified or redistributed. Inference runs in a separate child process, because nnU-Net</w:t>
      </w:r>
      <w:r>
        <w:t xml:space="preserve"> </w:t>
      </w:r>
      <w:r>
        <w:t xml:space="preserve">spawns its own workers and doing so from a long-lived parent leaks processes on Windows.</w:t>
      </w:r>
    </w:p>
    <w:p>
      <w:pPr>
        <w:pStyle w:val="BodyText"/>
      </w:pPr>
      <w:r>
        <w:t xml:space="preserve">The series is written to NIfTI by our own code, with an affine constructed from the DICOM</w:t>
      </w:r>
      <w:r>
        <w:t xml:space="preserve"> </w:t>
      </w:r>
      <w:r>
        <w:t xml:space="preserve">patient coordinates, and the masks return on that same grid; the correspondence between</w:t>
      </w:r>
      <w:r>
        <w:t xml:space="preserve"> </w:t>
      </w:r>
      <w:r>
        <w:t xml:space="preserve">mask voxel and image voxel is therefore the identity by construction, and is asserted</w:t>
      </w:r>
      <w:r>
        <w:t xml:space="preserve"> </w:t>
      </w:r>
      <w:r>
        <w:t xml:space="preserve">rather than assumed. This matters because the alternative — inferring an axis permutation</w:t>
      </w:r>
      <w:r>
        <w:t xml:space="preserve"> </w:t>
      </w:r>
      <w:r>
        <w:t xml:space="preserve">after the fact — fails silently: a mirrored segmentation produces entirely plausible</w:t>
      </w:r>
      <w:r>
        <w:t xml:space="preserve"> </w:t>
      </w:r>
      <w:r>
        <w:t xml:space="preserve">volumes, masses and Hounsfield values while pairing every organ with the wrong anatomy.</w:t>
      </w:r>
    </w:p>
    <w:p>
      <w:pPr>
        <w:pStyle w:val="BodyText"/>
      </w:pPr>
      <w:r>
        <w:t xml:space="preserve">The patient outline, needed for the water-equivalent diameter, was taken from a</w:t>
      </w:r>
      <w:r>
        <w:t xml:space="preserve"> </w:t>
      </w:r>
      <w:r>
        <w:t xml:space="preserve">deterministic threshold contour (air/tissue threshold, largest connected component, hole</w:t>
      </w:r>
      <w:r>
        <w:t xml:space="preserve"> </w:t>
      </w:r>
      <w:r>
        <w:t xml:space="preserve">filling) following AAPM Report 220 [7], which requires no model weights and is</w:t>
      </w:r>
      <w:r>
        <w:t xml:space="preserve"> </w:t>
      </w:r>
      <w:r>
        <w:t xml:space="preserve">reproducible across platforms.</w:t>
      </w:r>
    </w:p>
    <w:bookmarkEnd w:id="15"/>
    <w:bookmarkStart w:id="16" w:name="organ-mass-from-measured-attenuation"/>
    <w:p>
      <w:pPr>
        <w:pStyle w:val="Heading3"/>
      </w:pPr>
      <w:r>
        <w:t xml:space="preserve">2.6. Organ Mass from Measured Attenuation</w:t>
      </w:r>
    </w:p>
    <w:p>
      <w:pPr>
        <w:pStyle w:val="FirstParagraph"/>
      </w:pPr>
      <w:r>
        <w:t xml:space="preserve">Hounsfield units were converted to mass density by piecewise-linear interpolation through</w:t>
      </w:r>
      <w:r>
        <w:t xml:space="preserve"> </w:t>
      </w:r>
      <w:r>
        <w:t xml:space="preserve">reference tissue anchor points — air, inflated lung, adipose, water, skeletal muscle,</w:t>
      </w:r>
      <w:r>
        <w:t xml:space="preserve"> </w:t>
      </w:r>
      <w:r>
        <w:t xml:space="preserve">trabecular and cortical bone — taking the densities from ICRU Report 44 [8] and the</w:t>
      </w:r>
      <w:r>
        <w:t xml:space="preserve"> </w:t>
      </w:r>
      <w:r>
        <w:t xml:space="preserve">construction from Schneider et al. [9]. Organ mass is the sum of local density over mask</w:t>
      </w:r>
      <w:r>
        <w:t xml:space="preserve"> </w:t>
      </w:r>
      <w:r>
        <w:t xml:space="preserve">voxels multiplied by the voxel volume, not the organ volume multiplied by a nominal</w:t>
      </w:r>
      <w:r>
        <w:t xml:space="preserve"> </w:t>
      </w:r>
      <w:r>
        <w:t xml:space="preserve">tissue density: a steatotic and a normal liver of equal volume do not have equal mass, and</w:t>
      </w:r>
      <w:r>
        <w:t xml:space="preserve"> </w:t>
      </w:r>
      <w:r>
        <w:t xml:space="preserve">capturing that difference is the point of using the patient’s own attenuation.</w:t>
      </w:r>
    </w:p>
    <w:p>
      <w:pPr>
        <w:pStyle w:val="BodyText"/>
      </w:pPr>
      <w:r>
        <w:t xml:space="preserve">The calibration is a model and is treated as one. Its anchor Hounsfield values are nominal</w:t>
      </w:r>
      <w:r>
        <w:t xml:space="preserve"> </w:t>
      </w:r>
      <w:r>
        <w:t xml:space="preserve">for a 120 kVp acquisition, it is replaceable by a scanner-specific calibration, and</w:t>
      </w:r>
      <w:r>
        <w:t xml:space="preserve"> </w:t>
      </w:r>
      <w:r>
        <w:t xml:space="preserve">whichever curve was used travels into the provenance of every mass. Abdominal soft tissue</w:t>
      </w:r>
      <w:r>
        <w:t xml:space="preserve"> </w:t>
      </w:r>
      <w:r>
        <w:t xml:space="preserve">is in any case insensitive to the choice, because every reasonable curve passes through</w:t>
      </w:r>
      <w:r>
        <w:t xml:space="preserve"> </w:t>
      </w:r>
      <w:r>
        <w:t xml:space="preserve">water at 0 HU; perturbing the water-to-muscle slope by 10% changes an abdominal organ mass</w:t>
      </w:r>
      <w:r>
        <w:t xml:space="preserve"> </w:t>
      </w:r>
      <w:r>
        <w:t xml:space="preserve">by less than 1%.</w:t>
      </w:r>
    </w:p>
    <w:bookmarkEnd w:id="16"/>
    <w:bookmarkStart w:id="17" w:name="the-organ-specific-weighted-ctdivol"/>
    <w:p>
      <w:pPr>
        <w:pStyle w:val="Heading3"/>
      </w:pPr>
      <w:r>
        <w:t xml:space="preserve">2.7. The Organ-Specific Weighted CTDIvol</w:t>
      </w:r>
    </w:p>
    <w:p>
      <w:pPr>
        <w:pStyle w:val="FirstParagraph"/>
      </w:pPr>
      <w:r>
        <w:t xml:space="preserve">For an organ</w:t>
      </w:r>
      <w:r>
        <w:t xml:space="preserve"> </w:t>
      </w:r>
      <w:r>
        <w:rPr>
          <w:i/>
          <w:iCs/>
        </w:rPr>
        <w:t xml:space="preserve">o</w:t>
      </w:r>
      <w:r>
        <w:t xml:space="preserve"> </w:t>
      </w:r>
      <w:r>
        <w:t xml:space="preserve">occupying slices with per-slice voxel counts</w:t>
      </w:r>
      <w:r>
        <w:t xml:space="preserve"> </w:t>
      </w:r>
      <w:r>
        <w:rPr>
          <w:i/>
          <w:iCs/>
        </w:rPr>
        <w:t xml:space="preserve">n_o(z)</w:t>
      </w:r>
      <w:r>
        <w:t xml:space="preserve">, and a series with</w:t>
      </w:r>
      <w:r>
        <w:t xml:space="preserve"> </w:t>
      </w:r>
      <w:r>
        <w:t xml:space="preserve">per-slice tube current</w:t>
      </w:r>
      <w:r>
        <w:t xml:space="preserve"> </w:t>
      </w:r>
      <w:r>
        <w:rPr>
          <w:i/>
          <w:iCs/>
        </w:rPr>
        <w:t xml:space="preserve">I(z)</w:t>
      </w:r>
      <w:r>
        <w:t xml:space="preserve">, the modulation weight is</w:t>
      </w:r>
    </w:p>
    <w:p>
      <w:pPr>
        <w:pStyle w:val="BodyText"/>
      </w:pPr>
      <w:r>
        <w:rPr>
          <w:i/>
          <w:iCs/>
        </w:rPr>
        <w:t xml:space="preserve">w_o</w:t>
      </w:r>
      <w:r>
        <w:t xml:space="preserve"> </w:t>
      </w:r>
      <w:r>
        <w:t xml:space="preserve">= [ Σ_z</w:t>
      </w:r>
      <w:r>
        <w:t xml:space="preserve"> </w:t>
      </w:r>
      <w:r>
        <w:rPr>
          <w:i/>
          <w:iCs/>
        </w:rPr>
        <w:t xml:space="preserve">n_o(z) I(z)</w:t>
      </w:r>
      <w:r>
        <w:t xml:space="preserve"> </w:t>
      </w:r>
      <w:r>
        <w:t xml:space="preserve">/ Σ_z</w:t>
      </w:r>
      <w:r>
        <w:t xml:space="preserve"> </w:t>
      </w:r>
      <w:r>
        <w:rPr>
          <w:i/>
          <w:iCs/>
        </w:rPr>
        <w:t xml:space="preserve">n_o(z)</w:t>
      </w:r>
      <w:r>
        <w:t xml:space="preserve"> </w:t>
      </w:r>
      <w:r>
        <w:t xml:space="preserve">] / mean_z</w:t>
      </w:r>
      <w:r>
        <w:t xml:space="preserve"> </w:t>
      </w:r>
      <w:r>
        <w:rPr>
          <w:i/>
          <w:iCs/>
        </w:rPr>
        <w:t xml:space="preserve">I(z)</w:t>
      </w:r>
      <w:r>
        <w:t xml:space="preserve"> </w:t>
      </w:r>
      <w:r>
        <w:t xml:space="preserve">(1)</w:t>
      </w:r>
    </w:p>
    <w:p>
      <w:pPr>
        <w:pStyle w:val="BodyText"/>
      </w:pPr>
      <w:r>
        <w:t xml:space="preserve">and the organ-specific weighted CTDIvol is CTDIvol ·</w:t>
      </w:r>
      <w:r>
        <w:t xml:space="preserve"> </w:t>
      </w:r>
      <w:r>
        <w:rPr>
          <w:i/>
          <w:iCs/>
        </w:rPr>
        <w:t xml:space="preserve">w_o</w:t>
      </w:r>
      <w:r>
        <w:t xml:space="preserve">. The weight is dimensionless</w:t>
      </w:r>
      <w:r>
        <w:t xml:space="preserve"> </w:t>
      </w:r>
      <w:r>
        <w:t xml:space="preserve">and is the transferable quantity: it expresses what the modulation contributes,</w:t>
      </w:r>
      <w:r>
        <w:t xml:space="preserve"> </w:t>
      </w:r>
      <w:r>
        <w:t xml:space="preserve">independently of the scanner’s own output.</w:t>
      </w:r>
    </w:p>
    <w:p>
      <w:pPr>
        <w:pStyle w:val="BodyText"/>
      </w:pPr>
      <w:r>
        <w:t xml:space="preserve">CTDIvol was taken from the image header (0018,9345) where present. Where absent, it was</w:t>
      </w:r>
      <w:r>
        <w:t xml:space="preserve"> </w:t>
      </w:r>
      <w:r>
        <w:t xml:space="preserve">reconstructed from acquisition physics against an openly licensed normalised-CTDI</w:t>
      </w:r>
      <w:r>
        <w:t xml:space="preserve"> </w:t>
      </w:r>
      <w:r>
        <w:t xml:space="preserve">database [4]; recorded and reconstructed values are never merged, and each series records</w:t>
      </w:r>
      <w:r>
        <w:t xml:space="preserve"> </w:t>
      </w:r>
      <w:r>
        <w:t xml:space="preserve">which it carries, because the uncertainty attaching to them differs. A recorded value</w:t>
      </w:r>
      <w:r>
        <w:t xml:space="preserve"> </w:t>
      </w:r>
      <w:r>
        <w:t xml:space="preserve">outside the physically possible range is treated as a corrupt attribute and falls through</w:t>
      </w:r>
      <w:r>
        <w:t xml:space="preserve"> </w:t>
      </w:r>
      <w:r>
        <w:t xml:space="preserve">to reconstruction — one Philips series records CTDIvol as −3.7 × 10^19 mGy, and taking</w:t>
      </w:r>
      <w:r>
        <w:t xml:space="preserve"> </w:t>
      </w:r>
      <w:r>
        <w:t xml:space="preserve">that at face value would have produced an absurd organ dose carrying full provenance.</w:t>
      </w:r>
    </w:p>
    <w:p>
      <w:pPr>
        <w:pStyle w:val="BodyText"/>
      </w:pPr>
      <w:r>
        <w:t xml:space="preserve">An organ whose mask reaches the first or last slice of the series continues beyond the</w:t>
      </w:r>
      <w:r>
        <w:t xml:space="preserve"> </w:t>
      </w:r>
      <w:r>
        <w:t xml:space="preserve">scan. Its mass is the mass of the scanned part and its weight describes only the exposed</w:t>
      </w:r>
      <w:r>
        <w:t xml:space="preserve"> </w:t>
      </w:r>
      <w:r>
        <w:t xml:space="preserve">part; neither is the organ’s. Such organs are flagged and excluded from whole-organ</w:t>
      </w:r>
      <w:r>
        <w:t xml:space="preserve"> </w:t>
      </w:r>
      <w:r>
        <w:t xml:space="preserve">comparisons rather than reported as small organs.</w:t>
      </w:r>
    </w:p>
    <w:bookmarkEnd w:id="17"/>
    <w:bookmarkStart w:id="18" w:name="verification-and-reproducibility"/>
    <w:p>
      <w:pPr>
        <w:pStyle w:val="Heading3"/>
      </w:pPr>
      <w:r>
        <w:t xml:space="preserve">2.8. Verification and Reproducibility</w:t>
      </w:r>
    </w:p>
    <w:p>
      <w:pPr>
        <w:pStyle w:val="FirstParagraph"/>
      </w:pPr>
      <w:r>
        <w:t xml:space="preserve">Every series is screened against facts of gross anatomy that hold for any adult: the left</w:t>
      </w:r>
      <w:r>
        <w:t xml:space="preserve"> </w:t>
      </w:r>
      <w:r>
        <w:t xml:space="preserve">kidney lies to the patient’s left of the right kidney and the spleen to the left of the</w:t>
      </w:r>
      <w:r>
        <w:t xml:space="preserve"> </w:t>
      </w:r>
      <w:r>
        <w:t xml:space="preserve">liver; the liver lies superior to the bladder and the adrenal glands superior to the</w:t>
      </w:r>
      <w:r>
        <w:t xml:space="preserve"> </w:t>
      </w:r>
      <w:r>
        <w:t xml:space="preserve">kidneys; solid-organ masses fall within a wide band of reference values; and the organ</w:t>
      </w:r>
      <w:r>
        <w:t xml:space="preserve"> </w:t>
      </w:r>
      <w:r>
        <w:t xml:space="preserve">weights vary within a series. These screens exist because the failures they catch are the</w:t>
      </w:r>
      <w:r>
        <w:t xml:space="preserve"> </w:t>
      </w:r>
      <w:r>
        <w:t xml:space="preserve">ones that leave no other trace.</w:t>
      </w:r>
    </w:p>
    <w:p>
      <w:pPr>
        <w:pStyle w:val="BodyText"/>
      </w:pPr>
      <w:r>
        <w:t xml:space="preserve">The engine is MIT-licensed. Every reported value is re-derived from the per-series records</w:t>
      </w:r>
      <w:r>
        <w:t xml:space="preserve"> </w:t>
      </w:r>
      <w:r>
        <w:t xml:space="preserve">by the test suite, including regenerating the complete analysis table and comparing it, so</w:t>
      </w:r>
      <w:r>
        <w:t xml:space="preserve"> </w:t>
      </w:r>
      <w:r>
        <w:t xml:space="preserve">that a hand-edited summary fails. Results and figures are regenerated by scripts in the</w:t>
      </w:r>
      <w:r>
        <w:t xml:space="preserve"> </w:t>
      </w:r>
      <w:r>
        <w:t xml:space="preserve">repository.</w:t>
      </w:r>
    </w:p>
    <w:bookmarkEnd w:id="18"/>
    <w:bookmarkEnd w:id="19"/>
    <w:bookmarkStart w:id="37" w:name="results"/>
    <w:p>
      <w:pPr>
        <w:pStyle w:val="Heading2"/>
      </w:pPr>
      <w:r>
        <w:t xml:space="preserve">3. Results</w:t>
      </w:r>
    </w:p>
    <w:bookmarkStart w:id="20" w:name="cohort"/>
    <w:p>
      <w:pPr>
        <w:pStyle w:val="Heading3"/>
      </w:pPr>
      <w:r>
        <w:t xml:space="preserve">3.1. Cohort</w:t>
      </w:r>
    </w:p>
    <w:p>
      <w:pPr>
        <w:pStyle w:val="FirstParagraph"/>
      </w:pPr>
      <w:r>
        <w:t xml:space="preserve">Forty series were analysed — ten from each of GE, Siemens, Canon/Toshiba and Philips —</w:t>
      </w:r>
      <w:r>
        <w:t xml:space="preserve"> </w:t>
      </w:r>
      <w:r>
        <w:t xml:space="preserve">drawn from 21 collections and 23 scanner models, yielding 455 organ records across 12</w:t>
      </w:r>
      <w:r>
        <w:t xml:space="preserve"> </w:t>
      </w:r>
      <w:r>
        <w:t xml:space="preserve">organs.</w:t>
      </w:r>
    </w:p>
    <w:bookmarkEnd w:id="20"/>
    <w:bookmarkStart w:id="24" w:name="Xa52b26039e4d61903948f13761676a0de30bdad"/>
    <w:p>
      <w:pPr>
        <w:pStyle w:val="Heading3"/>
      </w:pPr>
      <w:r>
        <w:t xml:space="preserve">3.2. Segmented Organ Mass Against a Published Reference</w:t>
      </w:r>
    </w:p>
    <w:p>
      <w:pPr>
        <w:pStyle w:val="FirstParagraph"/>
      </w:pPr>
      <w:r>
        <w:t xml:space="preserve">Table 1 and Figure 1 give segmented organ mass relative to the ICRP 89 reference adult</w:t>
      </w:r>
      <w:r>
        <w:t xml:space="preserve"> </w:t>
      </w:r>
      <w:r>
        <w:t xml:space="preserve">male [5], over organs not truncated by the scan boundary.</w:t>
      </w:r>
    </w:p>
    <w:p>
      <w:pPr>
        <w:pStyle w:val="BodyText"/>
      </w:pPr>
      <w:r>
        <w:rPr>
          <w:b/>
          <w:bCs/>
        </w:rPr>
        <w:t xml:space="preserve">Table 1.</w:t>
      </w:r>
      <w:r>
        <w:t xml:space="preserve"> </w:t>
      </w:r>
      <w:r>
        <w:t xml:space="preserve">Segmented organ mass against ICRP 89 reference values, whole organs only.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n</w:t>
            </w:r>
          </w:p>
        </w:tc>
        <w:tc>
          <w:tcPr/>
          <w:p>
            <w:pPr>
              <w:pStyle w:val="Compact"/>
            </w:pPr>
            <w:r>
              <w:t xml:space="preserve">median mass</w:t>
            </w:r>
          </w:p>
        </w:tc>
        <w:tc>
          <w:tcPr/>
          <w:p>
            <w:pPr>
              <w:pStyle w:val="Compact"/>
            </w:pPr>
            <w:r>
              <w:t xml:space="preserve">ratio to ICRP 89</w:t>
            </w:r>
          </w:p>
        </w:tc>
      </w:tr>
      <w:tr>
        <w:tc>
          <w:tcPr/>
          <w:p>
            <w:pPr>
              <w:pStyle w:val="Compact"/>
            </w:pPr>
            <w:r>
              <w:t xml:space="preserve">liver</w:t>
            </w:r>
          </w:p>
        </w:tc>
        <w:tc>
          <w:tcPr/>
          <w:p>
            <w:pPr>
              <w:pStyle w:val="Compact"/>
            </w:pPr>
            <w:r>
              <w:t xml:space="preserve">34</w:t>
            </w:r>
          </w:p>
        </w:tc>
        <w:tc>
          <w:tcPr/>
          <w:p>
            <w:pPr>
              <w:pStyle w:val="Compact"/>
            </w:pPr>
            <w:r>
              <w:t xml:space="preserve">1901 g</w:t>
            </w:r>
          </w:p>
        </w:tc>
        <w:tc>
          <w:tcPr/>
          <w:p>
            <w:pPr>
              <w:pStyle w:val="Compact"/>
            </w:pPr>
            <w:r>
              <w:t xml:space="preserve">1.06</w:t>
            </w:r>
          </w:p>
        </w:tc>
      </w:tr>
      <w:tr>
        <w:tc>
          <w:tcPr/>
          <w:p>
            <w:pPr>
              <w:pStyle w:val="Compact"/>
            </w:pPr>
            <w:r>
              <w:t xml:space="preserve">spleen</w:t>
            </w:r>
          </w:p>
        </w:tc>
        <w:tc>
          <w:tcPr/>
          <w:p>
            <w:pPr>
              <w:pStyle w:val="Compact"/>
            </w:pPr>
            <w:r>
              <w:t xml:space="preserve">38</w:t>
            </w:r>
          </w:p>
        </w:tc>
        <w:tc>
          <w:tcPr/>
          <w:p>
            <w:pPr>
              <w:pStyle w:val="Compact"/>
            </w:pPr>
            <w:r>
              <w:t xml:space="preserve">259 g</w:t>
            </w:r>
          </w:p>
        </w:tc>
        <w:tc>
          <w:tcPr/>
          <w:p>
            <w:pPr>
              <w:pStyle w:val="Compact"/>
            </w:pPr>
            <w:r>
              <w:t xml:space="preserve">1.72</w:t>
            </w:r>
          </w:p>
        </w:tc>
      </w:tr>
      <w:tr>
        <w:tc>
          <w:tcPr/>
          <w:p>
            <w:pPr>
              <w:pStyle w:val="Compact"/>
            </w:pPr>
            <w:r>
              <w:t xml:space="preserve">kidney (left)</w:t>
            </w:r>
          </w:p>
        </w:tc>
        <w:tc>
          <w:tcPr/>
          <w:p>
            <w:pPr>
              <w:pStyle w:val="Compact"/>
            </w:pPr>
            <w:r>
              <w:t xml:space="preserve">34</w:t>
            </w:r>
          </w:p>
        </w:tc>
        <w:tc>
          <w:tcPr/>
          <w:p>
            <w:pPr>
              <w:pStyle w:val="Compact"/>
            </w:pPr>
            <w:r>
              <w:t xml:space="preserve">179 g</w:t>
            </w:r>
          </w:p>
        </w:tc>
        <w:tc>
          <w:tcPr/>
          <w:p>
            <w:pPr>
              <w:pStyle w:val="Compact"/>
            </w:pPr>
            <w:r>
              <w:t xml:space="preserve">1.15</w:t>
            </w:r>
          </w:p>
        </w:tc>
      </w:tr>
      <w:tr>
        <w:tc>
          <w:tcPr/>
          <w:p>
            <w:pPr>
              <w:pStyle w:val="Compact"/>
            </w:pPr>
            <w:r>
              <w:t xml:space="preserve">kidney (right)</w:t>
            </w:r>
          </w:p>
        </w:tc>
        <w:tc>
          <w:tcPr/>
          <w:p>
            <w:pPr>
              <w:pStyle w:val="Compact"/>
            </w:pPr>
            <w:r>
              <w:t xml:space="preserve">35</w:t>
            </w:r>
          </w:p>
        </w:tc>
        <w:tc>
          <w:tcPr/>
          <w:p>
            <w:pPr>
              <w:pStyle w:val="Compact"/>
            </w:pPr>
            <w:r>
              <w:t xml:space="preserve">182 g</w:t>
            </w:r>
          </w:p>
        </w:tc>
        <w:tc>
          <w:tcPr/>
          <w:p>
            <w:pPr>
              <w:pStyle w:val="Compact"/>
            </w:pPr>
            <w:r>
              <w:t xml:space="preserve">1.17</w:t>
            </w:r>
          </w:p>
        </w:tc>
      </w:tr>
      <w:tr>
        <w:tc>
          <w:tcPr/>
          <w:p>
            <w:pPr>
              <w:pStyle w:val="Compact"/>
            </w:pPr>
            <w:r>
              <w:t xml:space="preserve">pancreas</w:t>
            </w:r>
          </w:p>
        </w:tc>
        <w:tc>
          <w:tcPr/>
          <w:p>
            <w:pPr>
              <w:pStyle w:val="Compact"/>
            </w:pPr>
            <w:r>
              <w:t xml:space="preserve">36</w:t>
            </w:r>
          </w:p>
        </w:tc>
        <w:tc>
          <w:tcPr/>
          <w:p>
            <w:pPr>
              <w:pStyle w:val="Compact"/>
            </w:pPr>
            <w:r>
              <w:t xml:space="preserve">86 g</w:t>
            </w:r>
          </w:p>
        </w:tc>
        <w:tc>
          <w:tcPr/>
          <w:p>
            <w:pPr>
              <w:pStyle w:val="Compact"/>
            </w:pPr>
            <w:r>
              <w:t xml:space="preserve">0.61</w:t>
            </w:r>
          </w:p>
        </w:tc>
      </w:tr>
    </w:tbl>
    <w:p>
      <w:pPr>
        <w:pStyle w:val="CaptionedFigure"/>
      </w:pPr>
      <w:r>
        <w:drawing>
          <wp:inline>
            <wp:extent cx="5149515" cy="2942580"/>
            <wp:effectExtent b="0" l="0" r="0" t="0"/>
            <wp:docPr descr="Figure 1. Segmented organ mass relative to the ICRP 89 reference adult male, by manufacturer. Each marker is one organ in one series; the horizontal bar is the median across all manufacturers. Organs truncated by the scan boundary are excluded, since their mass is that of the scanned part only. Manufacturer is encoded by marker shape as well as colour, so the figure is readable in greyscale." title="" id="22" name="Picture"/>
            <a:graphic>
              <a:graphicData uri="http://schemas.openxmlformats.org/drawingml/2006/picture">
                <pic:pic>
                  <pic:nvPicPr>
                    <pic:cNvPr descr="figures/fig1_organ_mass_vs_icrp89.png" id="23" name="Picture"/>
                    <pic:cNvPicPr>
                      <a:picLocks noChangeArrowheads="1" noChangeAspect="1"/>
                    </pic:cNvPicPr>
                  </pic:nvPicPr>
                  <pic:blipFill>
                    <a:blip r:embed="rId21"/>
                    <a:stretch>
                      <a:fillRect/>
                    </a:stretch>
                  </pic:blipFill>
                  <pic:spPr bwMode="auto">
                    <a:xfrm>
                      <a:off x="0" y="0"/>
                      <a:ext cx="5149515" cy="294258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Segmented organ mass relative to the ICRP 89 reference adult male, by manufacturer. Each marker is one organ in one series; the horizontal bar is the median across all manufacturers. Organs truncated by the scan boundary are excluded, since their mass is that of the scanned part only. Manufacturer is encoded by marker shape as well as colour, so the figure is readable in greyscale.</w:t>
      </w:r>
    </w:p>
    <w:p>
      <w:pPr>
        <w:pStyle w:val="BodyText"/>
      </w:pPr>
      <w:r>
        <w:t xml:space="preserve">The liver, the largest organ and the one contributing most mass, agrees with the reference</w:t>
      </w:r>
      <w:r>
        <w:t xml:space="preserve"> </w:t>
      </w:r>
      <w:r>
        <w:t xml:space="preserve">to within 6%, and the kidneys to within 17%. Two organs depart systematically: the</w:t>
      </w:r>
      <w:r>
        <w:t xml:space="preserve"> </w:t>
      </w:r>
      <w:r>
        <w:t xml:space="preserve">pancreas is low by 39% and the spleen high by 72%. Both are reported as measured; neither</w:t>
      </w:r>
      <w:r>
        <w:t xml:space="preserve"> </w:t>
      </w:r>
      <w:r>
        <w:t xml:space="preserve">was corrected. Their attribution is taken up in Section 4.</w:t>
      </w:r>
    </w:p>
    <w:bookmarkEnd w:id="24"/>
    <w:bookmarkStart w:id="28" w:name="X4565a298e9982ca71965407eb629ce79fbb843c"/>
    <w:p>
      <w:pPr>
        <w:pStyle w:val="Heading3"/>
      </w:pPr>
      <w:r>
        <w:t xml:space="preserve">3.3. Availability of a Dose Index, by Manufacturer</w:t>
      </w:r>
    </w:p>
    <w:p>
      <w:pPr>
        <w:pStyle w:val="FirstParagraph"/>
      </w:pPr>
      <w:r>
        <w:t xml:space="preserve">Figure 2 gives the availability of a whole-scan dose index. Across the cohort, 29 of 40</w:t>
      </w:r>
      <w:r>
        <w:t xml:space="preserve"> </w:t>
      </w:r>
      <w:r>
        <w:t xml:space="preserve">series carried a recorded CTDIvol, 5 were reconstructable from acquisition physics, and 6</w:t>
      </w:r>
      <w:r>
        <w:t xml:space="preserve"> </w:t>
      </w:r>
      <w:r>
        <w:t xml:space="preserve">were neither.</w:t>
      </w:r>
    </w:p>
    <w:p>
      <w:pPr>
        <w:pStyle w:val="CaptionedFigure"/>
      </w:pPr>
      <w:r>
        <w:drawing>
          <wp:inline>
            <wp:extent cx="5334000" cy="2898815"/>
            <wp:effectExtent b="0" l="0" r="0" t="0"/>
            <wp:docPr descr="Figure 2. Availability of a whole-scan dose index by manufacturer. A series counted unrecoverable carries no CTDIvol in its header and its scanner lies outside the open coefficient database, so no organ-level index can be formed from it at all. Segments are distinguished by fill pattern as well as tone." title="" id="26" name="Picture"/>
            <a:graphic>
              <a:graphicData uri="http://schemas.openxmlformats.org/drawingml/2006/picture">
                <pic:pic>
                  <pic:nvPicPr>
                    <pic:cNvPr descr="figures/fig2_dose_index_availability.png" id="27" name="Picture"/>
                    <pic:cNvPicPr>
                      <a:picLocks noChangeArrowheads="1" noChangeAspect="1"/>
                    </pic:cNvPicPr>
                  </pic:nvPicPr>
                  <pic:blipFill>
                    <a:blip r:embed="rId25"/>
                    <a:stretch>
                      <a:fillRect/>
                    </a:stretch>
                  </pic:blipFill>
                  <pic:spPr bwMode="auto">
                    <a:xfrm>
                      <a:off x="0" y="0"/>
                      <a:ext cx="5334000" cy="2898815"/>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Availability of a whole-scan dose index by manufacturer. A series counted unrecoverable carries no CTDIvol in its header and its scanner lies outside the open coefficient database, so no organ-level index can be formed from it at all. Segments are distinguished by fill pattern as well as tone.</w:t>
      </w:r>
    </w:p>
    <w:p>
      <w:pPr>
        <w:pStyle w:val="BodyText"/>
      </w:pPr>
      <w:r>
        <w:t xml:space="preserve">All 6 unrecoverable series are GE, and GE recorded a CTDIvol in none of its ten series</w:t>
      </w:r>
      <w:r>
        <w:t xml:space="preserve"> </w:t>
      </w:r>
      <w:r>
        <w:t xml:space="preserve">(GE 0/10); the other three manufacturers recorded one in 29 of 30 (Fisher exact test,</w:t>
      </w:r>
      <w:r>
        <w:t xml:space="preserve"> </w:t>
      </w:r>
      <w:r>
        <w:t xml:space="preserve">two-sided,</w:t>
      </w:r>
      <w:r>
        <w:t xml:space="preserve"> </w:t>
      </w:r>
      <w:r>
        <w:rPr>
          <w:i/>
          <w:iCs/>
        </w:rPr>
        <w:t xml:space="preserve">p</w:t>
      </w:r>
      <w:r>
        <w:t xml:space="preserve"> </w:t>
      </w:r>
      <w:r>
        <w:t xml:space="preserve">= 1 × 10^−8). Four of the ten GE series were rescued by physics</w:t>
      </w:r>
      <w:r>
        <w:t xml:space="preserve"> </w:t>
      </w:r>
      <w:r>
        <w:t xml:space="preserve">reconstruction; the remaining six carry scanners outside the open coefficient database and</w:t>
      </w:r>
      <w:r>
        <w:t xml:space="preserve"> </w:t>
      </w:r>
      <w:r>
        <w:t xml:space="preserve">therefore admit no dose index at all. For those six, the organ masks, volumes, masses and</w:t>
      </w:r>
      <w:r>
        <w:t xml:space="preserve"> </w:t>
      </w:r>
      <w:r>
        <w:t xml:space="preserve">modulation weights are all computable and are reported — but no organ-level dose index</w:t>
      </w:r>
      <w:r>
        <w:t xml:space="preserve"> </w:t>
      </w:r>
      <w:r>
        <w:t xml:space="preserve">exists for them, and no coefficient set, however licensed, would change that.</w:t>
      </w:r>
    </w:p>
    <w:bookmarkEnd w:id="28"/>
    <w:bookmarkStart w:id="32" w:name="the-organ-level-index"/>
    <w:p>
      <w:pPr>
        <w:pStyle w:val="Heading3"/>
      </w:pPr>
      <w:r>
        <w:t xml:space="preserve">3.4. The Organ-Level Index</w:t>
      </w:r>
    </w:p>
    <w:p>
      <w:pPr>
        <w:pStyle w:val="FirstParagraph"/>
      </w:pPr>
      <w:r>
        <w:t xml:space="preserve">Organ modulation weights across the cohort span 0.59 to 1.69. Within a single acquisition</w:t>
      </w:r>
      <w:r>
        <w:t xml:space="preserve"> </w:t>
      </w:r>
      <w:r>
        <w:t xml:space="preserve">the organ-level index therefore departs from the whole-scan index by up to roughly 70% in</w:t>
      </w:r>
      <w:r>
        <w:t xml:space="preserve"> </w:t>
      </w:r>
      <w:r>
        <w:t xml:space="preserve">either direction, which is the magnitude the method exists to capture.</w:t>
      </w:r>
    </w:p>
    <w:p>
      <w:pPr>
        <w:pStyle w:val="BodyText"/>
      </w:pPr>
      <w:r>
        <w:t xml:space="preserve">Figure 3 shows one acquisition end to end: a Canon/Toshiba Aquilion PRIME series of 268</w:t>
      </w:r>
      <w:r>
        <w:t xml:space="preserve"> </w:t>
      </w:r>
      <w:r>
        <w:t xml:space="preserve">slices with a recorded CTDIvol of 16.1 mGy and a scan mean tube current of 265 mA. The</w:t>
      </w:r>
      <w:r>
        <w:t xml:space="preserve"> </w:t>
      </w:r>
      <w:r>
        <w:t xml:space="preserve">small bowel and colon, lying in the inferior abdomen where the modulation raised the</w:t>
      </w:r>
      <w:r>
        <w:t xml:space="preserve"> </w:t>
      </w:r>
      <w:r>
        <w:t xml:space="preserve">current to about 447 and 435 mA, take weights of 1.69 and 1.64 respectively, giving</w:t>
      </w:r>
      <w:r>
        <w:t xml:space="preserve"> </w:t>
      </w:r>
      <w:r>
        <w:t xml:space="preserve">organ-level indices near 27 mGy; the left kidney and stomach, higher in the scan, take</w:t>
      </w:r>
      <w:r>
        <w:t xml:space="preserve"> </w:t>
      </w:r>
      <w:r>
        <w:t xml:space="preserve">weights of 0.94 and indices near 15 mGy. Two organs in the same acquisition thus differ by</w:t>
      </w:r>
      <w:r>
        <w:t xml:space="preserve"> </w:t>
      </w:r>
      <w:r>
        <w:t xml:space="preserve">a factor of 1.8 in the exposure they receive, a difference no whole-scan number can</w:t>
      </w:r>
      <w:r>
        <w:t xml:space="preserve"> </w:t>
      </w:r>
      <w:r>
        <w:t xml:space="preserve">express.</w:t>
      </w:r>
    </w:p>
    <w:p>
      <w:pPr>
        <w:pStyle w:val="CaptionedFigure"/>
      </w:pPr>
      <w:r>
        <w:drawing>
          <wp:inline>
            <wp:extent cx="5334000" cy="4661344"/>
            <wp:effectExtent b="0" l="0" r="0" t="0"/>
            <wp:docPr descr="Figure 3. One acquisition end to end. (a) Each organ’s longitudinal extent, annotated with the mean tube current recorded over it, against a scan mean of 265 mA. (b) The resulting organ-specific weighted CTDIvol, with the modulation weight beside each bar; the dashed line is the whole-scan CTDIvol of 16.1 mGy." title="" id="30" name="Picture"/>
            <a:graphic>
              <a:graphicData uri="http://schemas.openxmlformats.org/drawingml/2006/picture">
                <pic:pic>
                  <pic:nvPicPr>
                    <pic:cNvPr descr="figures/fig3_demonstration_case.png" id="31" name="Picture"/>
                    <pic:cNvPicPr>
                      <a:picLocks noChangeArrowheads="1" noChangeAspect="1"/>
                    </pic:cNvPicPr>
                  </pic:nvPicPr>
                  <pic:blipFill>
                    <a:blip r:embed="rId29"/>
                    <a:stretch>
                      <a:fillRect/>
                    </a:stretch>
                  </pic:blipFill>
                  <pic:spPr bwMode="auto">
                    <a:xfrm>
                      <a:off x="0" y="0"/>
                      <a:ext cx="5334000" cy="466134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One acquisition end to end. (</w:t>
      </w:r>
      <w:r>
        <w:rPr>
          <w:b/>
          <w:bCs/>
        </w:rPr>
        <w:t xml:space="preserve">a</w:t>
      </w:r>
      <w:r>
        <w:t xml:space="preserve">) Each organ’s longitudinal extent, annotated with the mean tube current recorded over it, against a scan mean of 265 mA. (</w:t>
      </w:r>
      <w:r>
        <w:rPr>
          <w:b/>
          <w:bCs/>
        </w:rPr>
        <w:t xml:space="preserve">b</w:t>
      </w:r>
      <w:r>
        <w:t xml:space="preserve">) The resulting organ-specific weighted CTDIvol, with the modulation weight beside each bar; the dashed line is the whole-scan CTDIvol of 16.1 mGy.</w:t>
      </w:r>
    </w:p>
    <w:bookmarkEnd w:id="32"/>
    <w:bookmarkStart w:id="36" w:name="what-limits-an-organ-level-study"/>
    <w:p>
      <w:pPr>
        <w:pStyle w:val="Heading3"/>
      </w:pPr>
      <w:r>
        <w:t xml:space="preserve">3.5. What Limits an Organ-Level Study</w:t>
      </w:r>
    </w:p>
    <w:p>
      <w:pPr>
        <w:pStyle w:val="FirstParagraph"/>
      </w:pPr>
      <w:r>
        <w:t xml:space="preserve">Two conditions, neither a defect in the data nor in the method, reduce what an organ-level</w:t>
      </w:r>
      <w:r>
        <w:t xml:space="preserve"> </w:t>
      </w:r>
      <w:r>
        <w:t xml:space="preserve">study can measure, and both are vendor-dependent in this cohort (Figure 4).</w:t>
      </w:r>
    </w:p>
    <w:p>
      <w:pPr>
        <w:pStyle w:val="BodyText"/>
      </w:pPr>
      <w:r>
        <w:t xml:space="preserve">Truncation by the scan boundary affected 5.2% of organ records on GE, 5.5% on Siemens,</w:t>
      </w:r>
      <w:r>
        <w:t xml:space="preserve"> </w:t>
      </w:r>
      <w:r>
        <w:t xml:space="preserve">10.4% on Canon/Toshiba and 20.0% on Philips. The organs most often cut are the colon and</w:t>
      </w:r>
      <w:r>
        <w:t xml:space="preserve"> </w:t>
      </w:r>
      <w:r>
        <w:t xml:space="preserve">small bowel, which are longitudinally extensive, followed by the liver on Philips.</w:t>
      </w:r>
    </w:p>
    <w:p>
      <w:pPr>
        <w:pStyle w:val="CaptionedFigure"/>
      </w:pPr>
      <w:r>
        <w:drawing>
          <wp:inline>
            <wp:extent cx="5296186" cy="2342147"/>
            <wp:effectExtent b="0" l="0" r="0" t="0"/>
            <wp:docPr descr="Figure 4. What limits an organ-level modulation study. (a) Percentage of organ records truncated by the scan boundary, by manufacturer, annotated with the counts. (b) Peak-to-peak spread of the organ weights within each series; the dashed line is the threshold below which a series carries no usable variation across its organs." title="" id="34" name="Picture"/>
            <a:graphic>
              <a:graphicData uri="http://schemas.openxmlformats.org/drawingml/2006/picture">
                <pic:pic>
                  <pic:nvPicPr>
                    <pic:cNvPr descr="figures/fig4_study_limits.png" id="35" name="Picture"/>
                    <pic:cNvPicPr>
                      <a:picLocks noChangeArrowheads="1" noChangeAspect="1"/>
                    </pic:cNvPicPr>
                  </pic:nvPicPr>
                  <pic:blipFill>
                    <a:blip r:embed="rId33"/>
                    <a:stretch>
                      <a:fillRect/>
                    </a:stretch>
                  </pic:blipFill>
                  <pic:spPr bwMode="auto">
                    <a:xfrm>
                      <a:off x="0" y="0"/>
                      <a:ext cx="5296186" cy="234214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What limits an organ-level modulation study. (</w:t>
      </w:r>
      <w:r>
        <w:rPr>
          <w:b/>
          <w:bCs/>
        </w:rPr>
        <w:t xml:space="preserve">a</w:t>
      </w:r>
      <w:r>
        <w:t xml:space="preserve">) Percentage of organ records truncated by the scan boundary, by manufacturer, annotated with the counts. (</w:t>
      </w:r>
      <w:r>
        <w:rPr>
          <w:b/>
          <w:bCs/>
        </w:rPr>
        <w:t xml:space="preserve">b</w:t>
      </w:r>
      <w:r>
        <w:t xml:space="preserve">) Peak-to-peak spread of the organ weights within each series; the dashed line is the threshold below which a series carries no usable variation across its organs.</w:t>
      </w:r>
    </w:p>
    <w:p>
      <w:pPr>
        <w:pStyle w:val="BodyText"/>
      </w:pPr>
      <w:r>
        <w:t xml:space="preserve">3 of the 40 series showed a peak-to-peak spread of organ weights below 0.02: their tube</w:t>
      </w:r>
      <w:r>
        <w:t xml:space="preserve"> </w:t>
      </w:r>
      <w:r>
        <w:t xml:space="preserve">current does not vary across the abdominal organs, so the modulation weighting has nothing</w:t>
      </w:r>
      <w:r>
        <w:t xml:space="preserve"> </w:t>
      </w:r>
      <w:r>
        <w:t xml:space="preserve">to express. These are genuine acquisitions and passed the modulation screen at selection,</w:t>
      </w:r>
      <w:r>
        <w:t xml:space="preserve"> </w:t>
      </w:r>
      <w:r>
        <w:t xml:space="preserve">where the current varies across the whole scan; the flatness is local to the abdomen. They</w:t>
      </w:r>
      <w:r>
        <w:t xml:space="preserve"> </w:t>
      </w:r>
      <w:r>
        <w:t xml:space="preserve">are uninformative for an organ-level modulation study rather than faulty, and are counted</w:t>
      </w:r>
      <w:r>
        <w:t xml:space="preserve"> </w:t>
      </w:r>
      <w:r>
        <w:t xml:space="preserve">as such.</w:t>
      </w:r>
    </w:p>
    <w:bookmarkEnd w:id="36"/>
    <w:bookmarkEnd w:id="37"/>
    <w:bookmarkStart w:id="38" w:name="discussion"/>
    <w:p>
      <w:pPr>
        <w:pStyle w:val="Heading2"/>
      </w:pPr>
      <w:r>
        <w:t xml:space="preserve">4. Discussion</w:t>
      </w:r>
    </w:p>
    <w:p>
      <w:pPr>
        <w:pStyle w:val="FirstParagraph"/>
      </w:pPr>
      <w:r>
        <w:rPr>
          <w:b/>
          <w:bCs/>
        </w:rPr>
        <w:t xml:space="preserve">What the organ layer adds.</w:t>
      </w:r>
      <w:r>
        <w:t xml:space="preserve"> </w:t>
      </w:r>
      <w:r>
        <w:t xml:space="preserve">The organ modulation weights span 0.59 to 1.69, so</w:t>
      </w:r>
      <w:r>
        <w:t xml:space="preserve"> </w:t>
      </w:r>
      <w:r>
        <w:t xml:space="preserve">attributing the whole-scan index to every organ misstates the exposure of some organs by</w:t>
      </w:r>
      <w:r>
        <w:t xml:space="preserve"> </w:t>
      </w:r>
      <w:r>
        <w:t xml:space="preserve">tens of percent within a single acquisition. That is the quantitative case for the organ</w:t>
      </w:r>
      <w:r>
        <w:t xml:space="preserve"> </w:t>
      </w:r>
      <w:r>
        <w:t xml:space="preserve">layer, and it is obtainable from data every scanner already writes.</w:t>
      </w:r>
    </w:p>
    <w:p>
      <w:pPr>
        <w:pStyle w:val="BodyText"/>
      </w:pPr>
      <w:r>
        <w:rPr>
          <w:b/>
          <w:bCs/>
        </w:rPr>
        <w:t xml:space="preserve">The pancreas offset is attributed to the segmentation.</w:t>
      </w:r>
      <w:r>
        <w:t xml:space="preserve"> </w:t>
      </w:r>
      <w:r>
        <w:t xml:space="preserve">The pancreas is the weakest of</w:t>
      </w:r>
      <w:r>
        <w:t xml:space="preserve"> </w:t>
      </w:r>
      <w:r>
        <w:t xml:space="preserve">the solid abdominal organs in TotalSegmentator’s own validation: Dice 0.887, against 0.965</w:t>
      </w:r>
      <w:r>
        <w:t xml:space="preserve"> </w:t>
      </w:r>
      <w:r>
        <w:t xml:space="preserve">for the liver, 0.983 for the spleen and 0.953 and 0.939 for the kidneys [1]. A thin,</w:t>
      </w:r>
      <w:r>
        <w:t xml:space="preserve"> </w:t>
      </w:r>
      <w:r>
        <w:t xml:space="preserve">low-contrast organ with a variable course is precisely the case a conservative boundary</w:t>
      </w:r>
      <w:r>
        <w:t xml:space="preserve"> </w:t>
      </w:r>
      <w:r>
        <w:t xml:space="preserve">under-segments, and a deficit of this size, consistent across four manufacturers and 36</w:t>
      </w:r>
      <w:r>
        <w:t xml:space="preserve"> </w:t>
      </w:r>
      <w:r>
        <w:t xml:space="preserve">whole organs, is what that produces. One caveat belongs in the open: Dice is symmetric and</w:t>
      </w:r>
      <w:r>
        <w:t xml:space="preserve"> </w:t>
      </w:r>
      <w:r>
        <w:t xml:space="preserve">does not establish the</w:t>
      </w:r>
      <w:r>
        <w:t xml:space="preserve"> </w:t>
      </w:r>
      <w:r>
        <w:rPr>
          <w:i/>
          <w:iCs/>
        </w:rPr>
        <w:t xml:space="preserve">sign</w:t>
      </w:r>
      <w:r>
        <w:t xml:space="preserve"> </w:t>
      </w:r>
      <w:r>
        <w:t xml:space="preserve">of a disagreement, so it supports lower boundary agreement</w:t>
      </w:r>
      <w:r>
        <w:t xml:space="preserve"> </w:t>
      </w:r>
      <w:r>
        <w:t xml:space="preserve">but not, by itself, under-segmentation. Separating model bias from cohort anatomy requires</w:t>
      </w:r>
      <w:r>
        <w:t xml:space="preserve"> </w:t>
      </w:r>
      <w:r>
        <w:t xml:space="preserve">a second segmentation model on the same series, which we defer to future work.</w:t>
      </w:r>
    </w:p>
    <w:p>
      <w:pPr>
        <w:pStyle w:val="BodyText"/>
      </w:pPr>
      <w:r>
        <w:rPr>
          <w:b/>
          <w:bCs/>
        </w:rPr>
        <w:t xml:space="preserve">The spleen offset is attributed to the cohort.</w:t>
      </w:r>
      <w:r>
        <w:t xml:space="preserve"> </w:t>
      </w:r>
      <w:r>
        <w:t xml:space="preserve">Three independent lines support this.</w:t>
      </w:r>
      <w:r>
        <w:t xml:space="preserve"> </w:t>
      </w:r>
      <w:r>
        <w:t xml:space="preserve">The four largest spleens — 4.47, 3.74, 3.34 and 3.06 times the reference mass — were</w:t>
      </w:r>
      <w:r>
        <w:t xml:space="preserve"> </w:t>
      </w:r>
      <w:r>
        <w:t xml:space="preserve">reviewed slice by slice against their own images: each contour follows the splenic</w:t>
      </w:r>
      <w:r>
        <w:t xml:space="preserve"> </w:t>
      </w:r>
      <w:r>
        <w:t xml:space="preserve">boundary with correct laterality, tracks the notch at the hilum, and shows no leakage into</w:t>
      </w:r>
      <w:r>
        <w:t xml:space="preserve"> </w:t>
      </w:r>
      <w:r>
        <w:t xml:space="preserve">liver, kidney or stomach, and in each case the mask is a single connected component, so no</w:t>
      </w:r>
      <w:r>
        <w:t xml:space="preserve"> </w:t>
      </w:r>
      <w:r>
        <w:t xml:space="preserve">accessory spleen was included. Their mean densities are 1.052 to 1.078 g/cm³ — that is,</w:t>
      </w:r>
      <w:r>
        <w:t xml:space="preserve"> </w:t>
      </w:r>
      <w:r>
        <w:t xml:space="preserve">normal splenic tissue — so the elevated mass is entirely volume-derived rather than an</w:t>
      </w:r>
      <w:r>
        <w:t xml:space="preserve"> </w:t>
      </w:r>
      <w:r>
        <w:t xml:space="preserve">artefact of the density calibration. And the spleen is the</w:t>
      </w:r>
      <w:r>
        <w:t xml:space="preserve"> </w:t>
      </w:r>
      <w:r>
        <w:rPr>
          <w:i/>
          <w:iCs/>
        </w:rPr>
        <w:t xml:space="preserve">best</w:t>
      </w:r>
      <w:r>
        <w:t xml:space="preserve">-segmented organ in the</w:t>
      </w:r>
      <w:r>
        <w:t xml:space="preserve"> </w:t>
      </w:r>
      <w:r>
        <w:t xml:space="preserve">segmenter’s validation (Dice 0.983), which makes a segmentation explanation the least</w:t>
      </w:r>
      <w:r>
        <w:t xml:space="preserve"> </w:t>
      </w:r>
      <w:r>
        <w:t xml:space="preserve">likely one available. The four arise on four different manufacturers, excluding a vendor</w:t>
      </w:r>
      <w:r>
        <w:t xml:space="preserve"> </w:t>
      </w:r>
      <w:r>
        <w:t xml:space="preserve">artefact. The cohort is oncological — renal cell, colorectal and adrenal carcinoma — in</w:t>
      </w:r>
      <w:r>
        <w:t xml:space="preserve"> </w:t>
      </w:r>
      <w:r>
        <w:t xml:space="preserve">which splenomegaly is common, and the ICRP reference adult is not that population. The</w:t>
      </w:r>
      <w:r>
        <w:t xml:space="preserve"> </w:t>
      </w:r>
      <w:r>
        <w:t xml:space="preserve">+72% median is cohort anatomy.</w:t>
      </w:r>
    </w:p>
    <w:p>
      <w:pPr>
        <w:pStyle w:val="BodyText"/>
      </w:pPr>
      <w:r>
        <w:rPr>
          <w:b/>
          <w:bCs/>
        </w:rPr>
        <w:t xml:space="preserve">Availability at the organ level.</w:t>
      </w:r>
      <w:r>
        <w:t xml:space="preserve"> </w:t>
      </w:r>
      <w:r>
        <w:t xml:space="preserve">That one manufacturer records no CTDIvol in any</w:t>
      </w:r>
      <w:r>
        <w:t xml:space="preserve"> </w:t>
      </w:r>
      <w:r>
        <w:t xml:space="preserve">series, while the others record it almost universally, is consequential for anyone</w:t>
      </w:r>
      <w:r>
        <w:t xml:space="preserve"> </w:t>
      </w:r>
      <w:r>
        <w:t xml:space="preserve">attempting retrospective organ dosimetry on archived data. Physics reconstruction rescues</w:t>
      </w:r>
      <w:r>
        <w:t xml:space="preserve"> </w:t>
      </w:r>
      <w:r>
        <w:t xml:space="preserve">some of those series, but only where the scanner appears in an open coefficient database;</w:t>
      </w:r>
      <w:r>
        <w:t xml:space="preserve"> </w:t>
      </w:r>
      <w:r>
        <w:t xml:space="preserve">in this cohort it rescued four of ten, leaving six with no dose index by any route. An</w:t>
      </w:r>
      <w:r>
        <w:t xml:space="preserve"> </w:t>
      </w:r>
      <w:r>
        <w:t xml:space="preserve">organ-level dosimetry study drawn from an archive will therefore lose a</w:t>
      </w:r>
      <w:r>
        <w:t xml:space="preserve"> </w:t>
      </w:r>
      <w:r>
        <w:t xml:space="preserve">manufacturer-dependent fraction of its cohort before segmentation is even considered, and</w:t>
      </w:r>
      <w:r>
        <w:t xml:space="preserve"> </w:t>
      </w:r>
      <w:r>
        <w:t xml:space="preserve">a study that does not report which series were lost will silently under-represent that</w:t>
      </w:r>
      <w:r>
        <w:t xml:space="preserve"> </w:t>
      </w:r>
      <w:r>
        <w:t xml:space="preserve">manufacturer.</w:t>
      </w:r>
    </w:p>
    <w:p>
      <w:pPr>
        <w:pStyle w:val="BodyText"/>
      </w:pPr>
      <w:r>
        <w:rPr>
          <w:b/>
          <w:bCs/>
        </w:rPr>
        <w:t xml:space="preserve">Where the open chain ends, and why.</w:t>
      </w:r>
      <w:r>
        <w:t xml:space="preserve"> </w:t>
      </w:r>
      <w:r>
        <w:t xml:space="preserve">Converting the organ-specific weighted CTDIvol</w:t>
      </w:r>
      <w:r>
        <w:t xml:space="preserve"> </w:t>
      </w:r>
      <w:r>
        <w:t xml:space="preserve">into an absorbed organ dose in milligray requires CTDIvol-normalised coefficients with a</w:t>
      </w:r>
      <w:r>
        <w:t xml:space="preserve"> </w:t>
      </w:r>
      <w:r>
        <w:t xml:space="preserve">patient-size correction, of the kind established by Turner et al. [2] and extended over</w:t>
      </w:r>
      <w:r>
        <w:t xml:space="preserve"> </w:t>
      </w:r>
      <w:r>
        <w:t xml:space="preserve">larger patient model libraries by Tian et al. [3]. The coefficient sets the field relies</w:t>
      </w:r>
      <w:r>
        <w:t xml:space="preserve"> </w:t>
      </w:r>
      <w:r>
        <w:t xml:space="preserve">on for this purpose are published in subscription journals or distributed with research</w:t>
      </w:r>
      <w:r>
        <w:t xml:space="preserve"> </w:t>
      </w:r>
      <w:r>
        <w:t xml:space="preserve">software under terms granting use but not redistribution. This reflects a publishing</w:t>
      </w:r>
      <w:r>
        <w:t xml:space="preserve"> </w:t>
      </w:r>
      <w:r>
        <w:t xml:space="preserve">convention for Monte-Carlo reference data rather than any deficiency in the coefficients</w:t>
      </w:r>
      <w:r>
        <w:t xml:space="preserve"> </w:t>
      </w:r>
      <w:r>
        <w:t xml:space="preserve">themselves, which are well validated and widely applied; it simply means that no such set</w:t>
      </w:r>
      <w:r>
        <w:t xml:space="preserve"> </w:t>
      </w:r>
      <w:r>
        <w:t xml:space="preserve">can be carried inside an openly licensed pipeline.</w:t>
      </w:r>
    </w:p>
    <w:p>
      <w:pPr>
        <w:pStyle w:val="BodyText"/>
      </w:pPr>
      <w:r>
        <w:t xml:space="preserve">The contrast with the layer below is instructive. Normalised-CTDI data of the kind used</w:t>
      </w:r>
      <w:r>
        <w:t xml:space="preserve"> </w:t>
      </w:r>
      <w:r>
        <w:t xml:space="preserve">here to reconstruct a missing whole-scan index has been published under CC BY [4], and</w:t>
      </w:r>
      <w:r>
        <w:t xml:space="preserve"> </w:t>
      </w:r>
      <w:r>
        <w:t xml:space="preserve">that single change is what makes the reconstruction in Section 3.3 possible at all. The</w:t>
      </w:r>
      <w:r>
        <w:t xml:space="preserve"> </w:t>
      </w:r>
      <w:r>
        <w:t xml:space="preserve">same change at the organ layer would extend the open chain to absorbed dose without any</w:t>
      </w:r>
      <w:r>
        <w:t xml:space="preserve"> </w:t>
      </w:r>
      <w:r>
        <w:t xml:space="preserve">methodological advance. The boundary is therefore a property of how this class of</w:t>
      </w:r>
      <w:r>
        <w:t xml:space="preserve"> </w:t>
      </w:r>
      <w:r>
        <w:t xml:space="preserve">reference data is currently published, not of the method — and it is movable.</w:t>
      </w:r>
    </w:p>
    <w:p>
      <w:pPr>
        <w:pStyle w:val="BodyText"/>
      </w:pPr>
      <w:r>
        <w:t xml:space="preserve">We accordingly stop at the index, and the software enforces that: it refuses to produce a</w:t>
      </w:r>
      <w:r>
        <w:t xml:space="preserve"> </w:t>
      </w:r>
      <w:r>
        <w:t xml:space="preserve">dose in milligray unless supplied with a coefficient table carrying its citation, DOI,</w:t>
      </w:r>
      <w:r>
        <w:t xml:space="preserve"> </w:t>
      </w:r>
      <w:r>
        <w:t xml:space="preserve">licence and source hash. This is the openness gap the companion study documented for the</w:t>
      </w:r>
      <w:r>
        <w:t xml:space="preserve"> </w:t>
      </w:r>
      <w:r>
        <w:t xml:space="preserve">whole-scan index [6], observed one level down: the measurement chain is open from the</w:t>
      </w:r>
      <w:r>
        <w:t xml:space="preserve"> </w:t>
      </w:r>
      <w:r>
        <w:t xml:space="preserve">scanner to the organ-level index, and closed for the final step. Computing coefficients</w:t>
      </w:r>
      <w:r>
        <w:t xml:space="preserve"> </w:t>
      </w:r>
      <w:r>
        <w:t xml:space="preserve">with an open-source Monte-Carlo engine would remove the barrier rather than work around</w:t>
      </w:r>
      <w:r>
        <w:t xml:space="preserve"> </w:t>
      </w:r>
      <w:r>
        <w:t xml:space="preserve">it, and is the natural continuation of this work.</w:t>
      </w:r>
    </w:p>
    <w:p>
      <w:pPr>
        <w:pStyle w:val="BodyText"/>
      </w:pPr>
      <w:r>
        <w:rPr>
          <w:b/>
          <w:bCs/>
        </w:rPr>
        <w:t xml:space="preserve">Limitations.</w:t>
      </w:r>
      <w:r>
        <w:t xml:space="preserve"> </w:t>
      </w:r>
      <w:r>
        <w:t xml:space="preserve">Ten series per manufacturer supports a median and an interquartile range,</w:t>
      </w:r>
      <w:r>
        <w:t xml:space="preserve"> </w:t>
      </w:r>
      <w:r>
        <w:t xml:space="preserve">not a distributional claim. The cohort is oncological and not a reference population, which</w:t>
      </w:r>
      <w:r>
        <w:t xml:space="preserve"> </w:t>
      </w:r>
      <w:r>
        <w:t xml:space="preserve">is directly relevant to the spleen finding and probably to the liver spread. A single</w:t>
      </w:r>
      <w:r>
        <w:t xml:space="preserve"> </w:t>
      </w:r>
      <w:r>
        <w:t xml:space="preserve">segmentation model was used, so segmentation bias and cohort anatomy cannot be fully</w:t>
      </w:r>
      <w:r>
        <w:t xml:space="preserve"> </w:t>
      </w:r>
      <w:r>
        <w:t xml:space="preserve">separated here. There is no independent ground truth for organ mass in these subjects — the</w:t>
      </w:r>
      <w:r>
        <w:t xml:space="preserve"> </w:t>
      </w:r>
      <w:r>
        <w:t xml:space="preserve">ICRP comparison is an anchor, not a gold standard. And no absorbed dose is reported, by the</w:t>
      </w:r>
      <w:r>
        <w:t xml:space="preserve"> </w:t>
      </w:r>
      <w:r>
        <w:t xml:space="preserve">deliberate choice set out above.</w:t>
      </w:r>
    </w:p>
    <w:bookmarkEnd w:id="38"/>
    <w:bookmarkStart w:id="39" w:name="conclusions"/>
    <w:p>
      <w:pPr>
        <w:pStyle w:val="Heading2"/>
      </w:pPr>
      <w:r>
        <w:t xml:space="preserve">5. Conclusions</w:t>
      </w:r>
    </w:p>
    <w:p>
      <w:pPr>
        <w:pStyle w:val="FirstParagraph"/>
      </w:pPr>
      <w:r>
        <w:t xml:space="preserve">Patient-specific, organ-level CT dose characterisation is achievable across all four major</w:t>
      </w:r>
      <w:r>
        <w:t xml:space="preserve"> </w:t>
      </w:r>
      <w:r>
        <w:t xml:space="preserve">manufacturers from data that routine acquisitions already record, using inference-only</w:t>
      </w:r>
      <w:r>
        <w:t xml:space="preserve"> </w:t>
      </w:r>
      <w:r>
        <w:t xml:space="preserve">deep-learning segmentation and openly licensed inputs throughout. The modulation weights</w:t>
      </w:r>
      <w:r>
        <w:t xml:space="preserve"> </w:t>
      </w:r>
      <w:r>
        <w:t xml:space="preserve">span 0.59 to 1.69 within this cohort, so the organ layer is not a refinement of the</w:t>
      </w:r>
      <w:r>
        <w:t xml:space="preserve"> </w:t>
      </w:r>
      <w:r>
        <w:t xml:space="preserve">whole-scan index but a materially different quantity. The segmented anatomy underpinning</w:t>
      </w:r>
      <w:r>
        <w:t xml:space="preserve"> </w:t>
      </w:r>
      <w:r>
        <w:t xml:space="preserve">it agrees with published reference masses for the liver and kidneys, with two systematic</w:t>
      </w:r>
      <w:r>
        <w:t xml:space="preserve"> </w:t>
      </w:r>
      <w:r>
        <w:t xml:space="preserve">offsets that we characterise and attribute rather than adjust.</w:t>
      </w:r>
    </w:p>
    <w:p>
      <w:pPr>
        <w:pStyle w:val="BodyText"/>
      </w:pPr>
      <w:r>
        <w:t xml:space="preserve">The chain stops at the index, and where it stops is worth stating plainly. Monte-Carlo</w:t>
      </w:r>
      <w:r>
        <w:t xml:space="preserve"> </w:t>
      </w:r>
      <w:r>
        <w:t xml:space="preserve">organ-dose coefficients are conventionally published under terms that permit use but not</w:t>
      </w:r>
      <w:r>
        <w:t xml:space="preserve"> </w:t>
      </w:r>
      <w:r>
        <w:t xml:space="preserve">redistribution, so they cannot be carried inside an openly licensed pipeline. That is a</w:t>
      </w:r>
      <w:r>
        <w:t xml:space="preserve"> </w:t>
      </w:r>
      <w:r>
        <w:t xml:space="preserve">property of current publishing practice for this class of reference data rather than of</w:t>
      </w:r>
      <w:r>
        <w:t xml:space="preserve"> </w:t>
      </w:r>
      <w:r>
        <w:t xml:space="preserve">the coefficients, which are sound, or of the method, which is complete up to that point.</w:t>
      </w:r>
      <w:r>
        <w:t xml:space="preserve"> </w:t>
      </w:r>
      <w:r>
        <w:t xml:space="preserve">The precedent one layer down — normalised-CTDI data released under CC BY, which is what</w:t>
      </w:r>
      <w:r>
        <w:t xml:space="preserve"> </w:t>
      </w:r>
      <w:r>
        <w:t xml:space="preserve">makes the whole-scan reconstruction reported here possible — shows the convention can</w:t>
      </w:r>
      <w:r>
        <w:t xml:space="preserve"> </w:t>
      </w:r>
      <w:r>
        <w:t xml:space="preserve">change. Until it does, the organ-level index is where an open chain ends, and it is worth</w:t>
      </w:r>
      <w:r>
        <w:t xml:space="preserve"> </w:t>
      </w:r>
      <w:r>
        <w:t xml:space="preserve">having on its own terms.</w:t>
      </w:r>
    </w:p>
    <w:bookmarkEnd w:id="39"/>
    <w:bookmarkStart w:id="40" w:name="author-contributions"/>
    <w:p>
      <w:pPr>
        <w:pStyle w:val="Heading2"/>
      </w:pPr>
      <w:r>
        <w:t xml:space="preserve">Author Contributions</w:t>
      </w:r>
    </w:p>
    <w:p>
      <w:pPr>
        <w:pStyle w:val="FirstParagraph"/>
      </w:pPr>
      <w:r>
        <w:t xml:space="preserve">S.Y.: conceptualisation, methodology, software, validation, formal analysis,</w:t>
      </w:r>
      <w:r>
        <w:t xml:space="preserve"> </w:t>
      </w:r>
      <w:r>
        <w:t xml:space="preserve">investigation, data curation, writing — original draft, writing — review and editing,</w:t>
      </w:r>
      <w:r>
        <w:t xml:space="preserve"> </w:t>
      </w:r>
      <w:r>
        <w:t xml:space="preserve">visualisation. The author has read and agreed to the published version of the manuscript.</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institutional-review-board-statement"/>
    <w:p>
      <w:pPr>
        <w:pStyle w:val="Heading2"/>
      </w:pPr>
      <w:r>
        <w:t xml:space="preserve">Institutional Review Board Statement</w:t>
      </w:r>
    </w:p>
    <w:p>
      <w:pPr>
        <w:pStyle w:val="FirstParagraph"/>
      </w:pPr>
      <w:r>
        <w:t xml:space="preserve">Not applicable. This study used only publicly available, de-identified imaging from The</w:t>
      </w:r>
      <w:r>
        <w:t xml:space="preserve"> </w:t>
      </w:r>
      <w:r>
        <w:t xml:space="preserve">Cancer Imaging Archive.</w:t>
      </w:r>
    </w:p>
    <w:bookmarkEnd w:id="42"/>
    <w:bookmarkStart w:id="43" w:name="informed-consent-statement"/>
    <w:p>
      <w:pPr>
        <w:pStyle w:val="Heading2"/>
      </w:pPr>
      <w:r>
        <w:t xml:space="preserve">Informed Consent Statement</w:t>
      </w:r>
    </w:p>
    <w:p>
      <w:pPr>
        <w:pStyle w:val="FirstParagraph"/>
      </w:pPr>
      <w:r>
        <w:t xml:space="preserve">Not applicable. This study used only publicly available, de-identified imaging from The</w:t>
      </w:r>
      <w:r>
        <w:t xml:space="preserve"> </w:t>
      </w:r>
      <w:r>
        <w:t xml:space="preserve">Cancer Imaging Archive.</w:t>
      </w:r>
    </w:p>
    <w:bookmarkEnd w:id="43"/>
    <w:bookmarkStart w:id="44" w:name="data-availability-statement"/>
    <w:p>
      <w:pPr>
        <w:pStyle w:val="Heading2"/>
      </w:pPr>
      <w:r>
        <w:t xml:space="preserve">Data Availability Statement</w:t>
      </w:r>
    </w:p>
    <w:p>
      <w:pPr>
        <w:pStyle w:val="FirstParagraph"/>
      </w:pPr>
      <w:r>
        <w:t xml:space="preserve">The software supporting this study,</w:t>
      </w:r>
      <w:r>
        <w:t xml:space="preserve"> </w:t>
      </w:r>
      <w:r>
        <w:rPr>
          <w:rStyle w:val="VerbatimChar"/>
        </w:rPr>
        <w:t xml:space="preserve">ctsegdose-core</w:t>
      </w:r>
      <w:r>
        <w:t xml:space="preserve">, is openly available under the MIT</w:t>
      </w:r>
      <w:r>
        <w:t xml:space="preserve"> </w:t>
      </w:r>
      <w:r>
        <w:t xml:space="preserve">licence at https://github.com/Institute-of-One/ctsegdose-core and archived at Zenodo</w:t>
      </w:r>
      <w:r>
        <w:t xml:space="preserve"> </w:t>
      </w:r>
      <w:r>
        <w:t xml:space="preserve">(version DOI to be inserted at release). The machine-readable results the manuscript</w:t>
      </w:r>
      <w:r>
        <w:t xml:space="preserve"> </w:t>
      </w:r>
      <w:r>
        <w:t xml:space="preserve">quotes, the per-organ records, the analysis tables and the figure scripts are included in</w:t>
      </w:r>
      <w:r>
        <w:t xml:space="preserve"> </w:t>
      </w:r>
      <w:r>
        <w:t xml:space="preserve">that repository, together with the mask-review overlays underlying Section 4.</w:t>
      </w:r>
    </w:p>
    <w:p>
      <w:pPr>
        <w:pStyle w:val="BodyText"/>
      </w:pPr>
      <w:r>
        <w:t xml:space="preserve">No DICOM imaging is redistributed. Every series analysed is identified in</w:t>
      </w:r>
      <w:r>
        <w:t xml:space="preserve"> </w:t>
      </w:r>
      <w:r>
        <w:rPr>
          <w:rStyle w:val="VerbatimChar"/>
        </w:rPr>
        <w:t xml:space="preserve">data/PROVENANCE.json</w:t>
      </w:r>
      <w:r>
        <w:t xml:space="preserve"> </w:t>
      </w:r>
      <w:r>
        <w:t xml:space="preserve">by collection, collection DOI, Series Instance UID, manufacturer,</w:t>
      </w:r>
      <w:r>
        <w:t xml:space="preserve"> </w:t>
      </w:r>
      <w:r>
        <w:t xml:space="preserve">model, licence and retrieval date, and is retrievable directly from The Cancer Imaging</w:t>
      </w:r>
      <w:r>
        <w:t xml:space="preserve"> </w:t>
      </w:r>
      <w:r>
        <w:t xml:space="preserve">Archive by following</w:t>
      </w:r>
      <w:r>
        <w:t xml:space="preserve"> </w:t>
      </w:r>
      <w:r>
        <w:rPr>
          <w:rStyle w:val="VerbatimChar"/>
        </w:rPr>
        <w:t xml:space="preserve">docs/REPRODUCING_DATA.md</w:t>
      </w:r>
      <w:r>
        <w:t xml:space="preserve">. All forty series are published under</w:t>
      </w:r>
      <w:r>
        <w:t xml:space="preserve"> </w:t>
      </w:r>
      <w:r>
        <w:t xml:space="preserve">Creative Commons Attribution licences. Segmentation used TotalSegmentator [1], which is</w:t>
      </w:r>
      <w:r>
        <w:t xml:space="preserve"> </w:t>
      </w:r>
      <w:r>
        <w:t xml:space="preserve">distributed under the Apache 2.0 licence and was used at inference only; no model weights</w:t>
      </w:r>
      <w:r>
        <w:t xml:space="preserve"> </w:t>
      </w:r>
      <w:r>
        <w:t xml:space="preserve">are redistributed here. No organ-dose coefficient table is redistributed, for the</w:t>
      </w:r>
      <w:r>
        <w:t xml:space="preserve"> </w:t>
      </w:r>
      <w:r>
        <w:t xml:space="preserve">licensing reasons set out in Section 4.</w:t>
      </w:r>
    </w:p>
    <w:bookmarkEnd w:id="44"/>
    <w:bookmarkStart w:id="45" w:name="conflicts-of-interest"/>
    <w:p>
      <w:pPr>
        <w:pStyle w:val="Heading2"/>
      </w:pPr>
      <w:r>
        <w:t xml:space="preserve">Conflicts of Interest</w:t>
      </w:r>
    </w:p>
    <w:p>
      <w:pPr>
        <w:pStyle w:val="FirstParagraph"/>
      </w:pPr>
      <w:r>
        <w:t xml:space="preserve">The author is the representative of LISIT Co., Ltd. (Tokyo, Japan) and Chief Executive</w:t>
      </w:r>
      <w:r>
        <w:t xml:space="preserve"> </w:t>
      </w:r>
      <w:r>
        <w:t xml:space="preserve">Officer of TexelCraft OÜ (Estonia), and has a commercial interest in downstream products</w:t>
      </w:r>
      <w:r>
        <w:t xml:space="preserve"> </w:t>
      </w:r>
      <w:r>
        <w:t xml:space="preserve">that may incorporate or build upon the methods described here. The software reported in</w:t>
      </w:r>
      <w:r>
        <w:t xml:space="preserve"> </w:t>
      </w:r>
      <w:r>
        <w:t xml:space="preserve">this article is released under the MIT licence. No patient data, customer data or</w:t>
      </w:r>
      <w:r>
        <w:t xml:space="preserve"> </w:t>
      </w:r>
      <w:r>
        <w:t xml:space="preserve">proprietary clinical data were used in this study; all imaging is publicly available and</w:t>
      </w:r>
      <w:r>
        <w:t xml:space="preserve"> </w:t>
      </w:r>
      <w:r>
        <w:t xml:space="preserve">de-identified. The funders had no role in the design of the study, in the collection,</w:t>
      </w:r>
      <w:r>
        <w:t xml:space="preserve"> </w:t>
      </w:r>
      <w:r>
        <w:t xml:space="preserve">analysis or interpretation of data, in the writing of the manuscript, or in the decision</w:t>
      </w:r>
      <w:r>
        <w:t xml:space="preserve"> </w:t>
      </w:r>
      <w:r>
        <w:t xml:space="preserve">to publish the results.</w:t>
      </w:r>
    </w:p>
    <w:bookmarkEnd w:id="45"/>
    <w:bookmarkStart w:id="46" w:name="X662c2d66dd1eda3268d2087202c966cd73b2601"/>
    <w:p>
      <w:pPr>
        <w:pStyle w:val="Heading2"/>
      </w:pPr>
      <w:r>
        <w:t xml:space="preserve">Use of Generative Artificial Intelligence</w:t>
      </w:r>
    </w:p>
    <w:p>
      <w:pPr>
        <w:pStyle w:val="FirstParagraph"/>
      </w:pPr>
      <w:r>
        <w:t xml:space="preserve">A generative AI assistant (Claude, Anthropic) was used in the development of the software</w:t>
      </w:r>
      <w:r>
        <w:t xml:space="preserve"> </w:t>
      </w:r>
      <w:r>
        <w:t xml:space="preserve">and in drafting and editing the text of this manuscript. All reported results are produced</w:t>
      </w:r>
      <w:r>
        <w:t xml:space="preserve"> </w:t>
      </w:r>
      <w:r>
        <w:t xml:space="preserve">by executable code contained in the cited repository, are re-derived from the underlying</w:t>
      </w:r>
      <w:r>
        <w:t xml:space="preserve"> </w:t>
      </w:r>
      <w:r>
        <w:t xml:space="preserve">per-series records by an automated test suite, and were verified by the author, who takes</w:t>
      </w:r>
      <w:r>
        <w:t xml:space="preserve"> </w:t>
      </w:r>
      <w:r>
        <w:t xml:space="preserve">full responsibility for the content of this article.</w:t>
      </w:r>
    </w:p>
    <w:bookmarkEnd w:id="46"/>
    <w:bookmarkStart w:id="47" w:name="references"/>
    <w:p>
      <w:pPr>
        <w:pStyle w:val="Heading2"/>
      </w:pPr>
      <w:r>
        <w:t xml:space="preserve">References</w:t>
      </w:r>
    </w:p>
    <w:p>
      <w:pPr>
        <w:pStyle w:val="Compact"/>
        <w:numPr>
          <w:ilvl w:val="0"/>
          <w:numId w:val="1002"/>
        </w:numPr>
      </w:pPr>
      <w:r>
        <w:t xml:space="preserve">Wasserthal, J.; Breit, H.-C.; Meyer, M.T.; Pradella, M.; Hinck, D.; Sauter, A.W.; Heye,</w:t>
      </w:r>
      <w:r>
        <w:t xml:space="preserve"> </w:t>
      </w:r>
      <w:r>
        <w:t xml:space="preserve">T.; Boll, D.T.; Cyriac, J.; Yang, S.; Bach, M.; Segeroth, M. TotalSegmentator: Robust</w:t>
      </w:r>
      <w:r>
        <w:t xml:space="preserve"> </w:t>
      </w:r>
      <w:r>
        <w:t xml:space="preserve">Segmentation of 104 Anatomic Structures in CT Images.</w:t>
      </w:r>
      <w:r>
        <w:t xml:space="preserve"> </w:t>
      </w:r>
      <w:r>
        <w:rPr>
          <w:i/>
          <w:iCs/>
        </w:rPr>
        <w:t xml:space="preserve">Radiol. Artif. Intell.</w:t>
      </w:r>
      <w:r>
        <w:t xml:space="preserve"> </w:t>
      </w:r>
      <w:r>
        <w:rPr>
          <w:b/>
          <w:bCs/>
        </w:rPr>
        <w:t xml:space="preserve">2023</w:t>
      </w:r>
      <w:r>
        <w:t xml:space="preserve">,</w:t>
      </w:r>
      <w:r>
        <w:t xml:space="preserve"> </w:t>
      </w:r>
      <w:r>
        <w:rPr>
          <w:i/>
          <w:iCs/>
        </w:rPr>
        <w:t xml:space="preserve">5</w:t>
      </w:r>
      <w:r>
        <w:t xml:space="preserve">, e230024. https://doi.org/10.1148/ryai.230024</w:t>
      </w:r>
    </w:p>
    <w:p>
      <w:pPr>
        <w:pStyle w:val="Compact"/>
        <w:numPr>
          <w:ilvl w:val="0"/>
          <w:numId w:val="1002"/>
        </w:numPr>
      </w:pPr>
      <w:r>
        <w:t xml:space="preserve">Turner, A.C.; Zhang, D.; Khatonabadi, M.; Zankl, M.; DeMarco, J.J.; Cagnon, C.H.; Cody,</w:t>
      </w:r>
      <w:r>
        <w:t xml:space="preserve"> </w:t>
      </w:r>
      <w:r>
        <w:t xml:space="preserve">D.D.; Stevens, D.M.; McCollough, C.H.; McNitt-Gray, M.F. The Feasibility of Patient</w:t>
      </w:r>
      <w:r>
        <w:t xml:space="preserve"> </w:t>
      </w:r>
      <w:r>
        <w:t xml:space="preserve">Size-Corrected, Scanner-Independent Organ Dose Estimates for Abdominal CT Exams.</w:t>
      </w:r>
      <w:r>
        <w:t xml:space="preserve"> </w:t>
      </w:r>
      <w:r>
        <w:rPr>
          <w:i/>
          <w:iCs/>
        </w:rPr>
        <w:t xml:space="preserve">Med.</w:t>
      </w:r>
      <w:r>
        <w:rPr>
          <w:i/>
          <w:iCs/>
        </w:rPr>
        <w:t xml:space="preserve"> </w:t>
      </w:r>
      <w:r>
        <w:rPr>
          <w:i/>
          <w:iCs/>
        </w:rPr>
        <w:t xml:space="preserve">Phys.</w:t>
      </w:r>
      <w:r>
        <w:t xml:space="preserve"> </w:t>
      </w:r>
      <w:r>
        <w:rPr>
          <w:b/>
          <w:bCs/>
        </w:rPr>
        <w:t xml:space="preserve">2011</w:t>
      </w:r>
      <w:r>
        <w:t xml:space="preserve">,</w:t>
      </w:r>
      <w:r>
        <w:t xml:space="preserve"> </w:t>
      </w:r>
      <w:r>
        <w:rPr>
          <w:i/>
          <w:iCs/>
        </w:rPr>
        <w:t xml:space="preserve">38</w:t>
      </w:r>
      <w:r>
        <w:t xml:space="preserve">, 820–829. https://doi.org/10.1118/1.3533897</w:t>
      </w:r>
    </w:p>
    <w:p>
      <w:pPr>
        <w:pStyle w:val="Compact"/>
        <w:numPr>
          <w:ilvl w:val="0"/>
          <w:numId w:val="1002"/>
        </w:numPr>
      </w:pPr>
      <w:r>
        <w:t xml:space="preserve">Tian, X.; Li, X.; Segars, W.P.; Frush, D.P.; Paulson, E.K.; Samei, E. Dose Coefficients</w:t>
      </w:r>
      <w:r>
        <w:t xml:space="preserve"> </w:t>
      </w:r>
      <w:r>
        <w:t xml:space="preserve">in Pediatric and Adult Abdominopelvic CT Based on 100 Patient Models.</w:t>
      </w:r>
      <w:r>
        <w:t xml:space="preserve"> </w:t>
      </w:r>
      <w:r>
        <w:rPr>
          <w:i/>
          <w:iCs/>
        </w:rPr>
        <w:t xml:space="preserve">Phys. Med. Biol.</w:t>
      </w:r>
      <w:r>
        <w:t xml:space="preserve"> </w:t>
      </w:r>
      <w:r>
        <w:rPr>
          <w:b/>
          <w:bCs/>
        </w:rPr>
        <w:t xml:space="preserve">2013</w:t>
      </w:r>
      <w:r>
        <w:t xml:space="preserve">,</w:t>
      </w:r>
      <w:r>
        <w:t xml:space="preserve"> </w:t>
      </w:r>
      <w:r>
        <w:rPr>
          <w:i/>
          <w:iCs/>
        </w:rPr>
        <w:t xml:space="preserve">58</w:t>
      </w:r>
      <w:r>
        <w:t xml:space="preserve">, 8755–8768. https://doi.org/10.1088/0031-9155/58/24/8755</w:t>
      </w:r>
    </w:p>
    <w:p>
      <w:pPr>
        <w:pStyle w:val="Compact"/>
        <w:numPr>
          <w:ilvl w:val="0"/>
          <w:numId w:val="1002"/>
        </w:numPr>
      </w:pPr>
      <w:r>
        <w:t xml:space="preserve">Dinwiddie, L.E.; Baggett, J.M.; Kofler, J.M.; et al. Survey of Normalized CTDIvol Values</w:t>
      </w:r>
      <w:r>
        <w:t xml:space="preserve"> </w:t>
      </w:r>
      <w:r>
        <w:t xml:space="preserve">Across Four Major Computed Tomography Vendors for Use in the MIRDct Software.</w:t>
      </w:r>
      <w:r>
        <w:t xml:space="preserve"> </w:t>
      </w:r>
      <w:r>
        <w:rPr>
          <w:i/>
          <w:iCs/>
        </w:rPr>
        <w:t xml:space="preserve">J. Appl.</w:t>
      </w:r>
      <w:r>
        <w:rPr>
          <w:i/>
          <w:iCs/>
        </w:rPr>
        <w:t xml:space="preserve"> </w:t>
      </w:r>
      <w:r>
        <w:rPr>
          <w:i/>
          <w:iCs/>
        </w:rPr>
        <w:t xml:space="preserve">Clin. Med. Phys.</w:t>
      </w:r>
      <w:r>
        <w:t xml:space="preserve"> </w:t>
      </w:r>
      <w:r>
        <w:rPr>
          <w:b/>
          <w:bCs/>
        </w:rPr>
        <w:t xml:space="preserve">2026</w:t>
      </w:r>
      <w:r>
        <w:t xml:space="preserve">,</w:t>
      </w:r>
      <w:r>
        <w:t xml:space="preserve"> </w:t>
      </w:r>
      <w:r>
        <w:rPr>
          <w:i/>
          <w:iCs/>
        </w:rPr>
        <w:t xml:space="preserve">27</w:t>
      </w:r>
      <w:r>
        <w:t xml:space="preserve">, e70473. https://doi.org/10.1002/acm2.70473</w:t>
      </w:r>
    </w:p>
    <w:p>
      <w:pPr>
        <w:pStyle w:val="Compact"/>
        <w:numPr>
          <w:ilvl w:val="0"/>
          <w:numId w:val="1002"/>
        </w:numPr>
      </w:pPr>
      <w:r>
        <w:t xml:space="preserve">ICRP. Basic Anatomical and Physiological Data for Use in Radiological Protection:</w:t>
      </w:r>
      <w:r>
        <w:t xml:space="preserve"> </w:t>
      </w:r>
      <w:r>
        <w:t xml:space="preserve">Reference Values. ICRP Publication 89.</w:t>
      </w:r>
      <w:r>
        <w:t xml:space="preserve"> </w:t>
      </w:r>
      <w:r>
        <w:rPr>
          <w:i/>
          <w:iCs/>
        </w:rPr>
        <w:t xml:space="preserve">Ann. ICRP</w:t>
      </w:r>
      <w:r>
        <w:t xml:space="preserve"> </w:t>
      </w:r>
      <w:r>
        <w:rPr>
          <w:b/>
          <w:bCs/>
        </w:rPr>
        <w:t xml:space="preserve">2002</w:t>
      </w:r>
      <w:r>
        <w:t xml:space="preserve">,</w:t>
      </w:r>
      <w:r>
        <w:t xml:space="preserve"> </w:t>
      </w:r>
      <w:r>
        <w:rPr>
          <w:i/>
          <w:iCs/>
        </w:rPr>
        <w:t xml:space="preserve">32</w:t>
      </w:r>
      <w:r>
        <w:t xml:space="preserve"> </w:t>
      </w:r>
      <w:r>
        <w:t xml:space="preserve">(3–4).</w:t>
      </w:r>
    </w:p>
    <w:p>
      <w:pPr>
        <w:pStyle w:val="Compact"/>
        <w:numPr>
          <w:ilvl w:val="0"/>
          <w:numId w:val="1002"/>
        </w:numPr>
      </w:pPr>
      <w:r>
        <w:t xml:space="preserve">Yamamoto, S. ctdose-core: Open, Auditable CT Dose Surveillance from DICOM, with a</w:t>
      </w:r>
      <w:r>
        <w:t xml:space="preserve"> </w:t>
      </w:r>
      <w:r>
        <w:t xml:space="preserve">Physics Reconstruction When the Dose Attributes Are Missing (Software). Zenodo,</w:t>
      </w:r>
      <w:r>
        <w:t xml:space="preserve"> </w:t>
      </w:r>
      <w:r>
        <w:rPr>
          <w:b/>
          <w:bCs/>
        </w:rPr>
        <w:t xml:space="preserve">2026</w:t>
      </w:r>
      <w:r>
        <w:t xml:space="preserve">. https://doi.org/10.5281/zenodo.21636082</w:t>
      </w:r>
    </w:p>
    <w:p>
      <w:pPr>
        <w:pStyle w:val="Compact"/>
        <w:numPr>
          <w:ilvl w:val="0"/>
          <w:numId w:val="1002"/>
        </w:numPr>
      </w:pPr>
      <w:r>
        <w:t xml:space="preserve">McCollough, C.; Bakalyar, D.M.; Bostani, M.; Brady, S.; Boedeker, K.; Boone, J.M.;</w:t>
      </w:r>
      <w:r>
        <w:t xml:space="preserve"> </w:t>
      </w:r>
      <w:r>
        <w:t xml:space="preserve">Chen-Mayer, H.H.; Christianson, O.I.; Leng, S.; Li, B.; et al. Use of Water Equivalent</w:t>
      </w:r>
      <w:r>
        <w:t xml:space="preserve"> </w:t>
      </w:r>
      <w:r>
        <w:t xml:space="preserve">Diameter for Calculating Patient Size and Size-Specific Dose Estimates (SSDE) in CT: The</w:t>
      </w:r>
      <w:r>
        <w:t xml:space="preserve"> </w:t>
      </w:r>
      <w:r>
        <w:t xml:space="preserve">Report of AAPM Task Group 220.</w:t>
      </w:r>
      <w:r>
        <w:t xml:space="preserve"> </w:t>
      </w:r>
      <w:r>
        <w:rPr>
          <w:i/>
          <w:iCs/>
        </w:rPr>
        <w:t xml:space="preserve">AAPM Report No. 220</w:t>
      </w:r>
      <w:r>
        <w:t xml:space="preserve">,</w:t>
      </w:r>
      <w:r>
        <w:t xml:space="preserve"> </w:t>
      </w:r>
      <w:r>
        <w:rPr>
          <w:b/>
          <w:bCs/>
        </w:rPr>
        <w:t xml:space="preserve">2014</w:t>
      </w:r>
      <w:r>
        <w:t xml:space="preserve">.</w:t>
      </w:r>
      <w:r>
        <w:t xml:space="preserve"> </w:t>
      </w:r>
      <w:r>
        <w:t xml:space="preserve">https://doi.org/10.37206/146</w:t>
      </w:r>
    </w:p>
    <w:p>
      <w:pPr>
        <w:pStyle w:val="Compact"/>
        <w:numPr>
          <w:ilvl w:val="0"/>
          <w:numId w:val="1002"/>
        </w:numPr>
      </w:pPr>
      <w:r>
        <w:t xml:space="preserve">ICRU. Tissue Substitutes in Radiation Dosimetry and Measurement. ICRU Report 44;</w:t>
      </w:r>
      <w:r>
        <w:t xml:space="preserve"> </w:t>
      </w:r>
      <w:r>
        <w:t xml:space="preserve">International Commission on Radiation Units and Measurements: Bethesda, MD, USA,</w:t>
      </w:r>
      <w:r>
        <w:t xml:space="preserve"> </w:t>
      </w:r>
      <w:r>
        <w:rPr>
          <w:b/>
          <w:bCs/>
        </w:rPr>
        <w:t xml:space="preserve">1989</w:t>
      </w:r>
      <w:r>
        <w:t xml:space="preserve">.</w:t>
      </w:r>
    </w:p>
    <w:p>
      <w:pPr>
        <w:pStyle w:val="Compact"/>
        <w:numPr>
          <w:ilvl w:val="0"/>
          <w:numId w:val="1002"/>
        </w:numPr>
      </w:pPr>
      <w:r>
        <w:t xml:space="preserve">Schneider, U.; Pedroni, E.; Lomax, A. The Calibration of CT Hounsfield Units for</w:t>
      </w:r>
      <w:r>
        <w:t xml:space="preserve"> </w:t>
      </w:r>
      <w:r>
        <w:t xml:space="preserve">Radiotherapy Treatment Planning.</w:t>
      </w:r>
      <w:r>
        <w:t xml:space="preserve"> </w:t>
      </w:r>
      <w:r>
        <w:rPr>
          <w:i/>
          <w:iCs/>
        </w:rPr>
        <w:t xml:space="preserve">Phys. Med. Biol.</w:t>
      </w:r>
      <w:r>
        <w:t xml:space="preserve"> </w:t>
      </w:r>
      <w:r>
        <w:rPr>
          <w:b/>
          <w:bCs/>
        </w:rPr>
        <w:t xml:space="preserve">1996</w:t>
      </w:r>
      <w:r>
        <w:t xml:space="preserve">,</w:t>
      </w:r>
      <w:r>
        <w:t xml:space="preserve"> </w:t>
      </w:r>
      <w:r>
        <w:rPr>
          <w:i/>
          <w:iCs/>
        </w:rPr>
        <w:t xml:space="preserve">41</w:t>
      </w:r>
      <w:r>
        <w:t xml:space="preserve">, 111–124.</w:t>
      </w:r>
      <w:r>
        <w:t xml:space="preserve"> </w:t>
      </w:r>
      <w:r>
        <w:t xml:space="preserve">https://doi.org/10.1088/0031-9155/41/1/009</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2026-08-05T12:54:29Z</dcterms:created>
  <dcterms:modified xsi:type="dcterms:W3CDTF">2026-08-05T12:54:29Z</dcterms:modified>
</cp:coreProperties>
</file>

<file path=docProps/custom.xml><?xml version="1.0" encoding="utf-8"?>
<Properties xmlns="http://schemas.openxmlformats.org/officeDocument/2006/custom-properties" xmlns:vt="http://schemas.openxmlformats.org/officeDocument/2006/docPropsVTypes"/>
</file>