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262add42ea8d56622f6b373f153214da92c143"/>
    <w:p>
      <w:pPr>
        <w:pStyle w:val="Heading1"/>
      </w:pPr>
      <w:r>
        <w:t xml:space="preserve">Anatomy-Weighted CTDIvol from Routine CT Metadata: A Patient-Specific, Multi-Vendor Study Using Deep-Learning Segmentation</w:t>
      </w:r>
    </w:p>
    <w:p>
      <w:pPr>
        <w:pStyle w:val="FirstParagraph"/>
      </w:pPr>
      <w:r>
        <w:rPr>
          <w:b/>
          <w:bCs/>
        </w:rPr>
        <w:t xml:space="preserve">Shuji Yamamoto</w:t>
      </w:r>
    </w:p>
    <w:p>
      <w:pPr>
        <w:pStyle w:val="BodyText"/>
      </w:pPr>
      <w:r>
        <w:t xml:space="preserve">Institute of One, LISIT Co., Ltd., Tokyo, Japan; yamamoto@lisit.jp; ORCID 0000-0001-9211-1071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yamamoto@lisit.jp</w:t>
      </w:r>
    </w:p>
    <w:bookmarkStart w:id="9" w:name="simple-summary"/>
    <w:p>
      <w:pPr>
        <w:pStyle w:val="Heading2"/>
      </w:pPr>
      <w:r>
        <w:t xml:space="preserve">Simple Summary</w:t>
      </w:r>
    </w:p>
    <w:p>
      <w:pPr>
        <w:pStyle w:val="FirstParagraph"/>
      </w:pPr>
      <w:r>
        <w:t xml:space="preserve">CT scanners report a single dose number for the whole scan, yet the dose is delivered</w:t>
      </w:r>
      <w:r>
        <w:t xml:space="preserve"> </w:t>
      </w:r>
      <w:r>
        <w:t xml:space="preserve">unevenly across organs. We built an open, freely available software pipeline that uses</w:t>
      </w:r>
      <w:r>
        <w:t xml:space="preserve"> </w:t>
      </w:r>
      <w:r>
        <w:t xml:space="preserve">deep-learning segmentation to outline each abdominal organ on routine CT images and then</w:t>
      </w:r>
      <w:r>
        <w:t xml:space="preserve"> </w:t>
      </w:r>
      <w:r>
        <w:t xml:space="preserve">derives a patient-specific, organ-level dose</w:t>
      </w:r>
      <w:r>
        <w:t xml:space="preserve"> </w:t>
      </w:r>
      <w:r>
        <w:rPr>
          <w:i/>
          <w:iCs/>
        </w:rPr>
        <w:t xml:space="preserve">index</w:t>
      </w:r>
      <w:r>
        <w:t xml:space="preserve"> </w:t>
      </w:r>
      <w:r>
        <w:t xml:space="preserve">directly from data the scanner</w:t>
      </w:r>
      <w:r>
        <w:t xml:space="preserve"> </w:t>
      </w:r>
      <w:r>
        <w:t xml:space="preserve">already records. Across scans from four manufacturers we found that this organ-level</w:t>
      </w:r>
      <w:r>
        <w:t xml:space="preserve"> </w:t>
      </w:r>
      <w:r>
        <w:t xml:space="preserve">information can be recovered for some scanners but is entirely absent for others, because</w:t>
      </w:r>
      <w:r>
        <w:t xml:space="preserve"> </w:t>
      </w:r>
      <w:r>
        <w:t xml:space="preserve">the values it needs were not kept in the archived scan records. All software, results, and</w:t>
      </w:r>
      <w:r>
        <w:t xml:space="preserve"> </w:t>
      </w:r>
      <w:r>
        <w:t xml:space="preserve">data provenance are fully open so the work can be reproduced and extended.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CTDIvol is a scanner-output index, not an organ dose, and cannot express how tube-current</w:t>
      </w:r>
      <w:r>
        <w:t xml:space="preserve"> </w:t>
      </w:r>
      <w:r>
        <w:t xml:space="preserve">modulation varies along a patient. An organ-specific weighted CTDIvol addressing this has</w:t>
      </w:r>
      <w:r>
        <w:t xml:space="preserve"> </w:t>
      </w:r>
      <w:r>
        <w:t xml:space="preserve">been reported before, in single-institution cohorts and often from inputs routine archives</w:t>
      </w:r>
      <w:r>
        <w:t xml:space="preserve"> </w:t>
      </w:r>
      <w:r>
        <w:t xml:space="preserve">do not retain. New here is not the quantity but what an open, multi-vendor</w:t>
      </w:r>
      <w:r>
        <w:t xml:space="preserve"> </w:t>
      </w:r>
      <w:r>
        <w:t xml:space="preserve">operationalisation reveals: whether its inputs survive archive curation, and what the</w:t>
      </w:r>
      <w:r>
        <w:t xml:space="preserve"> </w:t>
      </w:r>
      <w:r>
        <w:t xml:space="preserve">fallback costs when they do not. Forty abdominal CT series, ten per manufacturer, were</w:t>
      </w:r>
      <w:r>
        <w:t xml:space="preserve"> </w:t>
      </w:r>
      <w:r>
        <w:t xml:space="preserve">drawn from The Cancer Imaging Archive and twelve organs segmented with TotalSegmentator at</w:t>
      </w:r>
      <w:r>
        <w:t xml:space="preserve"> </w:t>
      </w:r>
      <w:r>
        <w:t xml:space="preserve">inference. Of 480 requested organ–series combinations, 455 were produced. A rule-based</w:t>
      </w:r>
      <w:r>
        <w:t xml:space="preserve"> </w:t>
      </w:r>
      <w:r>
        <w:t xml:space="preserve">acquisition-constancy criterion admitted 39 series. Modulation weights spanned</w:t>
      </w:r>
      <w:r>
        <w:t xml:space="preserve"> </w:t>
      </w:r>
      <w:r>
        <w:t xml:space="preserve">0.59 to 1.69, so the index departs from the whole-scan CTDIvol by up to 70% within one</w:t>
      </w:r>
      <w:r>
        <w:t xml:space="preserve"> </w:t>
      </w:r>
      <w:r>
        <w:t xml:space="preserve">acquisition. A recorded CTDIvol survived in 29 of 40 archived headers, was reconstructable</w:t>
      </w:r>
      <w:r>
        <w:t xml:space="preserve"> </w:t>
      </w:r>
      <w:r>
        <w:t xml:space="preserve">in 5 and unavailable in 6, availability differing markedly between manufacturers. Forcing</w:t>
      </w:r>
      <w:r>
        <w:t xml:space="preserve"> </w:t>
      </w:r>
      <w:r>
        <w:t xml:space="preserve">that reconstruction on series that did retain a value agreed to within 12% on three</w:t>
      </w:r>
      <w:r>
        <w:t xml:space="preserve"> </w:t>
      </w:r>
      <w:r>
        <w:t xml:space="preserve">scanner models and diverged by 58% and 84% on two others. Estimated organ mass was broadly</w:t>
      </w:r>
      <w:r>
        <w:t xml:space="preserve"> </w:t>
      </w:r>
      <w:r>
        <w:t xml:space="preserve">consistent with ICRP 89 for liver and kidneys. This index is not absorbed dose; the</w:t>
      </w:r>
      <w:r>
        <w:t xml:space="preserve"> </w:t>
      </w:r>
      <w:r>
        <w:t xml:space="preserve">implementation is open.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computed tomography; CTDIvol; tube-current modulation; deep-learning</w:t>
      </w:r>
      <w:r>
        <w:t xml:space="preserve"> </w:t>
      </w:r>
      <w:r>
        <w:t xml:space="preserve">segmentation; TotalSegmentator; image-based dosimetry indices; reproducibility; open data</w: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Two different things are routinely conflated when CT dose is discussed. The first is that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dose index</w:t>
      </w:r>
      <w:r>
        <w:t xml:space="preserve"> </w:t>
      </w:r>
      <w:r>
        <w:t xml:space="preserve">is not a</w:t>
      </w:r>
      <w:r>
        <w:t xml:space="preserve"> </w:t>
      </w:r>
      <w:r>
        <w:rPr>
          <w:i/>
          <w:iCs/>
        </w:rPr>
        <w:t xml:space="preserve">dose</w:t>
      </w:r>
      <w:r>
        <w:t xml:space="preserve">: CTDIvol describes the output of a scanner into a standard</w:t>
      </w:r>
      <w:r>
        <w:t xml:space="preserve"> </w:t>
      </w:r>
      <w:r>
        <w:t xml:space="preserve">cylinder of acrylic, and is a property of the acquisition rather than of the patient in</w:t>
      </w:r>
      <w:r>
        <w:t xml:space="preserve"> </w:t>
      </w:r>
      <w:r>
        <w:t xml:space="preserve">it — a distinction set out explicitly by McCollough et al. [1]. The second is that a</w:t>
      </w:r>
      <w:r>
        <w:t xml:space="preserve"> </w:t>
      </w:r>
      <w:r>
        <w:t xml:space="preserve">single value per series cannot express variation along the patient: almost every modern</w:t>
      </w:r>
      <w:r>
        <w:t xml:space="preserve"> </w:t>
      </w:r>
      <w:r>
        <w:t xml:space="preserve">acquisition modulates the tube current longitudinally [2], so the conditions over the liver</w:t>
      </w:r>
      <w:r>
        <w:t xml:space="preserve"> </w:t>
      </w:r>
      <w:r>
        <w:t xml:space="preserve">and over the bladder are not the same, and one number for the series conceals that.</w:t>
      </w:r>
    </w:p>
    <w:p>
      <w:pPr>
        <w:pStyle w:val="BodyText"/>
      </w:pPr>
      <w:r>
        <w:t xml:space="preserve">That second point is well established. Khatonabadi et al. demonstrated that a</w:t>
      </w:r>
      <w:r>
        <w:t xml:space="preserve"> </w:t>
      </w:r>
      <w:r>
        <w:rPr>
          <w:i/>
          <w:iCs/>
        </w:rPr>
        <w:t xml:space="preserve">regional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organ-specific</w:t>
      </w:r>
      <w:r>
        <w:t xml:space="preserve"> </w:t>
      </w:r>
      <w:r>
        <w:t xml:space="preserve">CTDIvol, formed from the modulation profile over an organ’s own location,</w:t>
      </w:r>
      <w:r>
        <w:t xml:space="preserve"> </w:t>
      </w:r>
      <w:r>
        <w:t xml:space="preserve">tracks Monte-Carlo organ dose far better than the whole-scan value, raising the coefficient</w:t>
      </w:r>
      <w:r>
        <w:t xml:space="preserve"> </w:t>
      </w:r>
      <w:r>
        <w:t xml:space="preserve">of determination for liver dose from 0.26 to 0.86 [3]. Tian et al. formalised a</w:t>
      </w:r>
      <w:r>
        <w:t xml:space="preserve"> </w:t>
      </w:r>
      <w:r>
        <w:rPr>
          <w:b/>
          <w:bCs/>
        </w:rPr>
        <w:t xml:space="preserve">weighted</w:t>
      </w:r>
      <w:r>
        <w:rPr>
          <w:b/>
          <w:bCs/>
        </w:rPr>
        <w:t xml:space="preserve"> </w:t>
      </w:r>
      <w:r>
        <w:rPr>
          <w:b/>
          <w:bCs/>
        </w:rPr>
        <w:t xml:space="preserve">organ-specific CTDIvol</w:t>
      </w:r>
      <w:r>
        <w:t xml:space="preserve"> </w:t>
      </w:r>
      <w:r>
        <w:t xml:space="preserve">computed from the modulation profile and used it, with organ-dose</w:t>
      </w:r>
      <w:r>
        <w:t xml:space="preserve"> </w:t>
      </w:r>
      <w:r>
        <w:t xml:space="preserve">coefficients, to predict organ dose prospectively [4].</w:t>
      </w:r>
    </w:p>
    <w:p>
      <w:pPr>
        <w:pStyle w:val="BodyText"/>
      </w:pPr>
      <w:r>
        <w:rPr>
          <w:b/>
          <w:bCs/>
        </w:rPr>
        <w:t xml:space="preserve">The quantity examined here is therefore not new, and no new index is proposed.</w:t>
      </w:r>
      <w:r>
        <w:t xml:space="preserve"> </w:t>
      </w:r>
      <w:r>
        <w:t xml:space="preserve">This</w:t>
      </w:r>
      <w:r>
        <w:t xml:space="preserve"> </w:t>
      </w:r>
      <w:r>
        <w:t xml:space="preserve">study takes the organ-specific weighted CTDIvol already reported in that literature and</w:t>
      </w:r>
      <w:r>
        <w:t xml:space="preserve"> </w:t>
      </w:r>
      <w:r>
        <w:t xml:space="preserve">asks a different question: what happens when it is operationalised openly, end to end, on</w:t>
      </w:r>
      <w:r>
        <w:t xml:space="preserve"> </w:t>
      </w:r>
      <w:r>
        <w:t xml:space="preserve">heterogeneous archived data from four manufacturers, using automated segmentation and</w:t>
      </w:r>
      <w:r>
        <w:t xml:space="preserve"> </w:t>
      </w:r>
      <w:r>
        <w:t xml:space="preserve">nothing but the metadata a scanner already writes?</w:t>
      </w:r>
    </w:p>
    <w:p>
      <w:pPr>
        <w:pStyle w:val="BodyText"/>
      </w:pPr>
      <w:r>
        <w:t xml:space="preserve">Existing work only partially answers that question. Longitudinal dose indices,</w:t>
      </w:r>
      <w:r>
        <w:t xml:space="preserve"> </w:t>
      </w:r>
      <w:r>
        <w:t xml:space="preserve">DICOM-header-derived modulation profiles and TotalSegmentator-assisted dose calculations</w:t>
      </w:r>
      <w:r>
        <w:t xml:space="preserve"> </w:t>
      </w:r>
      <w:r>
        <w:t xml:space="preserve">have each been investigated, but in different settings and for different endpoints. Li et</w:t>
      </w:r>
      <w:r>
        <w:t xml:space="preserve"> </w:t>
      </w:r>
      <w:r>
        <w:t xml:space="preserve">al. characterised the size-specific dose estimate as a function of longitudinal position,</w:t>
      </w:r>
      <w:r>
        <w:t xml:space="preserve"> </w:t>
      </w:r>
      <w:r>
        <w:t xml:space="preserve">SSDE(z), under both fixed and modulated tube current [5]. Nuntue et al. derived</w:t>
      </w:r>
      <w:r>
        <w:t xml:space="preserve"> </w:t>
      </w:r>
      <w:r>
        <w:t xml:space="preserve">tube-current-modulation profiles from DICOM headers and used them, with Monte-Carlo</w:t>
      </w:r>
      <w:r>
        <w:t xml:space="preserve"> </w:t>
      </w:r>
      <w:r>
        <w:t xml:space="preserve">simulation and physical measurement, to improve absorbed organ dose estimates in abdominal</w:t>
      </w:r>
      <w:r>
        <w:t xml:space="preserve"> </w:t>
      </w:r>
      <w:r>
        <w:t xml:space="preserve">CT [6]. Eom et al. incorporated TotalSegmentator into an automated effective-dose</w:t>
      </w:r>
      <w:r>
        <w:t xml:space="preserve"> </w:t>
      </w:r>
      <w:r>
        <w:t xml:space="preserve">calculation on clinical PET/CT [7]. What remains insufficiently characterised is whether</w:t>
      </w:r>
      <w:r>
        <w:t xml:space="preserve"> </w:t>
      </w:r>
      <w:r>
        <w:t xml:space="preserve">the organ-weighting layer can be reconstructed end to end from heterogeneous archived</w:t>
      </w:r>
      <w:r>
        <w:t xml:space="preserve"> </w:t>
      </w:r>
      <w:r>
        <w:t xml:space="preserve">DICOM alone, how often the required inputs survive archive curation and de-identification,</w:t>
      </w:r>
      <w:r>
        <w:t xml:space="preserve"> </w:t>
      </w:r>
      <w:r>
        <w:t xml:space="preserve">how acquisition-parameter constancy can be verified, and how the resulting quantity</w:t>
      </w:r>
      <w:r>
        <w:t xml:space="preserve"> </w:t>
      </w:r>
      <w:r>
        <w:t xml:space="preserve">behaves across manufacturers when patient-specific contours are obtained automatically.</w:t>
      </w:r>
      <w:r>
        <w:t xml:space="preserve"> </w:t>
      </w:r>
      <w:r>
        <w:t xml:space="preserve">Deep-learning segmentation is what makes the attempt practical at scale: a general-purpose</w:t>
      </w:r>
      <w:r>
        <w:t xml:space="preserve"> </w:t>
      </w:r>
      <w:r>
        <w:t xml:space="preserve">segmenter such as TotalSegmentator [8], built on nnU-Net [9], produces abdominal organ</w:t>
      </w:r>
      <w:r>
        <w:t xml:space="preserve"> </w:t>
      </w:r>
      <w:r>
        <w:t xml:space="preserve">masks from a routine series in seconds at inference only, so the anatomy is now</w:t>
      </w:r>
      <w:r>
        <w:t xml:space="preserve"> </w:t>
      </w:r>
      <w:r>
        <w:t xml:space="preserve">effectively free.</w:t>
      </w:r>
    </w:p>
    <w:p>
      <w:pPr>
        <w:pStyle w:val="BodyText"/>
      </w:pPr>
      <w:r>
        <w:t xml:space="preserve">This study is accordingly an</w:t>
      </w:r>
      <w:r>
        <w:t xml:space="preserve"> </w:t>
      </w:r>
      <w:r>
        <w:rPr>
          <w:b/>
          <w:bCs/>
        </w:rPr>
        <w:t xml:space="preserve">open, multi-vendor operationalisation and empirical</w:t>
      </w:r>
      <w:r>
        <w:rPr>
          <w:b/>
          <w:bCs/>
        </w:rPr>
        <w:t xml:space="preserve"> </w:t>
      </w:r>
      <w:r>
        <w:rPr>
          <w:b/>
          <w:bCs/>
        </w:rPr>
        <w:t xml:space="preserve">characterisation</w:t>
      </w:r>
      <w:r>
        <w:t xml:space="preserve"> </w:t>
      </w:r>
      <w:r>
        <w:t xml:space="preserve">of a previously reported quantity: the whole-scan CTDIvol scaled by a</w:t>
      </w:r>
      <w:r>
        <w:t xml:space="preserve"> </w:t>
      </w:r>
      <w:r>
        <w:t xml:space="preserve">dimensionless, organ-specific weight formed from the recorded per-slice tube current over</w:t>
      </w:r>
      <w:r>
        <w:t xml:space="preserve"> </w:t>
      </w:r>
      <w:r>
        <w:t xml:space="preserve">that organ’s segmented longitudinal extent, referred to here as the anatomy-weighted</w:t>
      </w:r>
      <w:r>
        <w:t xml:space="preserve"> </w:t>
      </w:r>
      <w:r>
        <w:t xml:space="preserve">CTDIvol index. It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estimate of absorbed organ dose, and Section 2.11</w:t>
      </w:r>
      <w:r>
        <w:t xml:space="preserve"> </w:t>
      </w:r>
      <w:r>
        <w:t xml:space="preserve">sets out what it does not account for.</w:t>
      </w:r>
    </w:p>
    <w:p>
      <w:pPr>
        <w:pStyle w:val="BodyText"/>
      </w:pPr>
      <w:r>
        <w:t xml:space="preserve">Converting an index of this kind into an absorbed organ dose in milligray requires</w:t>
      </w:r>
      <w:r>
        <w:t xml:space="preserve"> </w:t>
      </w:r>
      <w:r>
        <w:t xml:space="preserve">CTDIvol-normalised organ-dose coefficients, computed by Monte-Carlo simulation over</w:t>
      </w:r>
      <w:r>
        <w:t xml:space="preserve"> </w:t>
      </w:r>
      <w:r>
        <w:t xml:space="preserve">anthropomorphic patient models and corrected for patient size [4]. Such coefficient sets</w:t>
      </w:r>
      <w:r>
        <w:t xml:space="preserve"> </w:t>
      </w:r>
      <w:r>
        <w:t xml:space="preserve">exist, are well validated, and are in routine use; the index reported here does not</w:t>
      </w:r>
      <w:r>
        <w:t xml:space="preserve"> </w:t>
      </w:r>
      <w:r>
        <w:t xml:space="preserve">replace them and is not offered as a surrogate for their output.</w:t>
      </w:r>
    </w:p>
    <w:p>
      <w:pPr>
        <w:pStyle w:val="BodyText"/>
      </w:pPr>
      <w:r>
        <w:t xml:space="preserve">The contributions are stated below in terms of what is computed and by what rule, since</w:t>
      </w:r>
      <w:r>
        <w:t xml:space="preserve"> </w:t>
      </w:r>
      <w:r>
        <w:t xml:space="preserve">that is where the novelty of an operationalisation lies: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end-to-end computation from archived metadata alone.</w:t>
      </w:r>
      <w:r>
        <w:t xml:space="preserve"> </w:t>
      </w:r>
      <w:r>
        <w:t xml:space="preserve">Per-slice tube current</w:t>
      </w:r>
      <w:r>
        <w:t xml:space="preserve"> </w:t>
      </w:r>
      <w:r>
        <w:t xml:space="preserve">I(z) is read from (0018,1151) on every image; the series is resampled onto a uniform</w:t>
      </w:r>
      <w:r>
        <w:t xml:space="preserve"> </w:t>
      </w:r>
      <w:r>
        <w:t xml:space="preserve">slice grid; twelve organ masks are obtained from a general-purpose segmenter at</w:t>
      </w:r>
      <w:r>
        <w:t xml:space="preserve"> </w:t>
      </w:r>
      <w:r>
        <w:t xml:space="preserve">inference; each organ’s longitudinal extent is taken from the extreme slices of its</w:t>
      </w:r>
      <w:r>
        <w:t xml:space="preserve"> </w:t>
      </w:r>
      <w:r>
        <w:t xml:space="preserve">own mask; and the organ weight is the mean of I(z) over that extent divided by the</w:t>
      </w:r>
      <w:r>
        <w:t xml:space="preserve"> </w:t>
      </w:r>
      <w:r>
        <w:t xml:space="preserve">mean over the whole series. The index is that weight times the whole-scan CTDIvol.</w:t>
      </w:r>
      <w:r>
        <w:t xml:space="preserve"> </w:t>
      </w:r>
      <w:r>
        <w:t xml:space="preserve">Nothing in the chain requires projection data, a manual contour, or a value the</w:t>
      </w:r>
      <w:r>
        <w:t xml:space="preserve"> </w:t>
      </w:r>
      <w:r>
        <w:t xml:space="preserve">scanner did not already 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multi-vendor empirical characterisation of the resulting quantity</w:t>
      </w:r>
      <w:r>
        <w:t xml:space="preserve"> </w:t>
      </w:r>
      <w:r>
        <w:t xml:space="preserve">— its range,</w:t>
      </w:r>
      <w:r>
        <w:t xml:space="preserve"> </w:t>
      </w:r>
      <w:r>
        <w:t xml:space="preserve">its within-acquisition spread and its behaviour across four manufacturers — computed</w:t>
      </w:r>
      <w:r>
        <w:t xml:space="preserve"> </w:t>
      </w:r>
      <w:r>
        <w:t xml:space="preserve">by the same code on all series, so that between-vendor differences cannot arise from</w:t>
      </w:r>
      <w:r>
        <w:t xml:space="preserve"> </w:t>
      </w:r>
      <w:r>
        <w:t xml:space="preserve">between-site processing.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measurement of how often the inputs survive archive curation, and of what happens</w:t>
      </w:r>
      <w:r>
        <w:rPr>
          <w:b/>
          <w:bCs/>
        </w:rPr>
        <w:t xml:space="preserve"> </w:t>
      </w:r>
      <w:r>
        <w:rPr>
          <w:b/>
          <w:bCs/>
        </w:rPr>
        <w:t xml:space="preserve">when one of them does not.</w:t>
      </w:r>
      <w:r>
        <w:t xml:space="preserve"> </w:t>
      </w:r>
      <w:r>
        <w:t xml:space="preserve">The measurement is a direct inspection of the archived</w:t>
      </w:r>
      <w:r>
        <w:t xml:space="preserve"> </w:t>
      </w:r>
      <w:r>
        <w:t xml:space="preserve">headers of all 40 series for the two attributes the index needs: per-slice tube</w:t>
      </w:r>
      <w:r>
        <w:t xml:space="preserve"> </w:t>
      </w:r>
      <w:r>
        <w:t xml:space="preserve">current, and a whole-scan CTDIvol in (0018,9345). Where the second is absent it can</w:t>
      </w:r>
      <w:r>
        <w:t xml:space="preserve"> </w:t>
      </w:r>
      <w:r>
        <w:t xml:space="preserve">sometimes be rebuilt from acquisition physics, and Section 3.5 reports how far that</w:t>
      </w:r>
      <w:r>
        <w:t xml:space="preserve"> </w:t>
      </w:r>
      <w:r>
        <w:t xml:space="preserve">reconstruction agrees with the recorded value on the series where both can be</w:t>
      </w:r>
      <w:r>
        <w:t xml:space="preserve"> </w:t>
      </w:r>
      <w:r>
        <w:t xml:space="preserve">obtained. What is new is the pairing: retention rates measured on a multi-vendor</w:t>
      </w:r>
      <w:r>
        <w:t xml:space="preserve"> </w:t>
      </w:r>
      <w:r>
        <w:t xml:space="preserve">archive sample, together with the accuracy and the coverage of the fallback that the</w:t>
      </w:r>
      <w:r>
        <w:t xml:space="preserve"> </w:t>
      </w:r>
      <w:r>
        <w:t xml:space="preserve">gaps force a retrospective study onto.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rule-based acquisition-constancy criterion</w:t>
      </w:r>
      <w:r>
        <w:t xml:space="preserve"> </w:t>
      </w:r>
      <w:r>
        <w:t xml:space="preserve">that makes the proportionality</w:t>
      </w:r>
      <w:r>
        <w:t xml:space="preserve"> </w:t>
      </w:r>
      <w:r>
        <w:t xml:space="preserve">assumption behind the weighting testable rather than implicit: a series is admitted</w:t>
      </w:r>
      <w:r>
        <w:t xml:space="preserve"> </w:t>
      </w:r>
      <w:r>
        <w:t xml:space="preserve">only if every attribute that governs scanner output other than tube current is</w:t>
      </w:r>
      <w:r>
        <w:t xml:space="preserve"> </w:t>
      </w:r>
      <w:r>
        <w:t xml:space="preserve">constant within it, to a tolerance justified in Section 2.9 from the resolution at</w:t>
      </w:r>
      <w:r>
        <w:t xml:space="preserve"> </w:t>
      </w:r>
      <w:r>
        <w:t xml:space="preserve">which those attributes are stored.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external reference comparison of attenuation-derived estimated organ mass against</w:t>
      </w:r>
      <w:r>
        <w:rPr>
          <w:b/>
          <w:bCs/>
        </w:rPr>
        <w:t xml:space="preserve"> </w:t>
      </w:r>
      <w:r>
        <w:rPr>
          <w:b/>
          <w:bCs/>
        </w:rPr>
        <w:t xml:space="preserve">ICRP 89 values [10].</w:t>
      </w:r>
      <w:r>
        <w:t xml:space="preserve"> </w:t>
      </w:r>
      <w:r>
        <w:t xml:space="preserve">This is not a separate study but the only external check</w:t>
      </w:r>
      <w:r>
        <w:t xml:space="preserve"> </w:t>
      </w:r>
      <w:r>
        <w:t xml:space="preserve">available to the pipeline: no ground-truth organ mass exists for archived series, and</w:t>
      </w:r>
      <w:r>
        <w:t xml:space="preserve"> </w:t>
      </w:r>
      <w:r>
        <w:t xml:space="preserve">organ mass is the one intermediate quantity the pipeline produces that can be compared</w:t>
      </w:r>
      <w:r>
        <w:t xml:space="preserve"> </w:t>
      </w:r>
      <w:r>
        <w:t xml:space="preserve">with a published reference at all. Agreement bounds how far the segmentation and the</w:t>
      </w:r>
      <w:r>
        <w:t xml:space="preserve"> </w:t>
      </w:r>
      <w:r>
        <w:t xml:space="preserve">Hounsfield-to-density mapping can jointly be wrong, which is what makes the weights</w:t>
      </w:r>
      <w:r>
        <w:t xml:space="preserve"> </w:t>
      </w:r>
      <w:r>
        <w:t xml:space="preserve">downstream of them worth reporting.</w:t>
      </w:r>
    </w:p>
    <w:bookmarkEnd w:id="11"/>
    <w:bookmarkStart w:id="28" w:name="materials-and-methods"/>
    <w:p>
      <w:pPr>
        <w:pStyle w:val="Heading2"/>
      </w:pPr>
      <w:r>
        <w:t xml:space="preserve">2. Materials and Methods</w:t>
      </w:r>
    </w:p>
    <w:bookmarkStart w:id="15" w:name="data-selection-without-bulk-download"/>
    <w:p>
      <w:pPr>
        <w:pStyle w:val="Heading3"/>
      </w:pPr>
      <w:r>
        <w:t xml:space="preserve">2.1. Data Selection Without Bulk Download</w:t>
      </w:r>
    </w:p>
    <w:p>
      <w:pPr>
        <w:pStyle w:val="FirstParagraph"/>
      </w:pPr>
      <w:r>
        <w:t xml:space="preserve">Handing a collection manifest to a bulk downloader fetches an entire collection, which for</w:t>
      </w:r>
      <w:r>
        <w:t xml:space="preserve"> </w:t>
      </w:r>
      <w:r>
        <w:t xml:space="preserve">the low-dose CT collection is of the order of 600 GB, most of it raw projection data</w:t>
      </w:r>
      <w:r>
        <w:t xml:space="preserve"> </w:t>
      </w:r>
      <w:r>
        <w:t xml:space="preserve">irrelevant to this work. We therefore used a metadata-first procedure over the public NBIA</w:t>
      </w:r>
      <w:r>
        <w:t xml:space="preserve"> </w:t>
      </w:r>
      <w:r>
        <w:t xml:space="preserve">REST API with four stages — index, screen, probe, download — in which only the last</w:t>
      </w:r>
      <w:r>
        <w:t xml:space="preserve"> </w:t>
      </w:r>
      <w:r>
        <w:t xml:space="preserve">transfers a series. Figure 1 sets out the whole pipeline: the stages of data formation,</w:t>
      </w:r>
      <w:r>
        <w:t xml:space="preserve"> </w:t>
      </w:r>
      <w:r>
        <w:t xml:space="preserve">the number of series surviving each, and the verification attached to each stage together</w:t>
      </w:r>
      <w:r>
        <w:t xml:space="preserve"> </w:t>
      </w:r>
      <w:r>
        <w:t xml:space="preserve">with what it rejects.</w:t>
      </w:r>
    </w:p>
    <w:p>
      <w:pPr>
        <w:pStyle w:val="BodyText"/>
      </w:pPr>
      <w:r>
        <w:drawing>
          <wp:inline>
            <wp:extent cx="4800600" cy="670083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igures/fig1_pipelin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700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1.</w:t>
      </w:r>
      <w:r>
        <w:t xml:space="preserve"> </w:t>
      </w:r>
      <w:r>
        <w:t xml:space="preserve">Data formation and verification. Blue: stages that produce or transform</w:t>
      </w:r>
      <w:r>
        <w:t xml:space="preserve"> </w:t>
      </w:r>
      <w:r>
        <w:t xml:space="preserve">data, with the number of series or records carried forward. Orange: verification, each</w:t>
      </w:r>
      <w:r>
        <w:t xml:space="preserve"> </w:t>
      </w:r>
      <w:r>
        <w:t xml:space="preserve">box naming what its stage rejects or flags. Green: the reported quantity. Every count is</w:t>
      </w:r>
      <w:r>
        <w:t xml:space="preserve"> </w:t>
      </w:r>
      <w:r>
        <w:t xml:space="preserve">read from the shipped result files.</w:t>
      </w:r>
    </w:p>
    <w:p>
      <w:pPr>
        <w:pStyle w:val="BodyText"/>
      </w:pPr>
      <w:r>
        <w:t xml:space="preserve">All series in this study are public, de-identified data from The Cancer Imaging Archive,</w:t>
      </w:r>
      <w:r>
        <w:t xml:space="preserve"> </w:t>
      </w:r>
      <w:r>
        <w:t xml:space="preserve">used under the individual collection licences recorded in the provenance file that</w:t>
      </w:r>
      <w:r>
        <w:t xml:space="preserve"> </w:t>
      </w:r>
      <w:r>
        <w:t xml:space="preserve">accompanies the software. The archive’s submission process removes protected health</w:t>
      </w:r>
      <w:r>
        <w:t xml:space="preserve"> </w:t>
      </w:r>
      <w:r>
        <w:t xml:space="preserve">information from both headers and pixel data before publication while retaining the</w:t>
      </w:r>
      <w:r>
        <w:t xml:space="preserve"> </w:t>
      </w:r>
      <w:r>
        <w:t xml:space="preserve">attributes research requires [11], and no imaging is redistributed by this work: series</w:t>
      </w:r>
      <w:r>
        <w:t xml:space="preserve"> </w:t>
      </w:r>
      <w:r>
        <w:t xml:space="preserve">are identified by Series Instance UID, collection and licence so that any of them can be</w:t>
      </w:r>
      <w:r>
        <w:t xml:space="preserve"> </w:t>
      </w:r>
      <w:r>
        <w:t xml:space="preserve">re-fetched. The study required no ethical approval, since it uses only such data and</w:t>
      </w:r>
      <w:r>
        <w:t xml:space="preserve"> </w:t>
      </w:r>
      <w:r>
        <w:t xml:space="preserve">enrols no participants.</w:t>
      </w:r>
    </w:p>
    <w:p>
      <w:pPr>
        <w:pStyle w:val="BodyText"/>
      </w:pPr>
      <w:r>
        <w:t xml:space="preserve">All imaging was drawn from The Cancer Imaging Archive [12]. The candidate index was built</w:t>
      </w:r>
      <w:r>
        <w:t xml:space="preserve"> </w:t>
      </w:r>
      <w:r>
        <w:t xml:space="preserve">from 47,181 CT series across 21 abdominal collections, read as series-level JSON with no</w:t>
      </w:r>
      <w:r>
        <w:t xml:space="preserve"> </w:t>
      </w:r>
      <w:r>
        <w:t xml:space="preserve">pixel data. Candidates were seeded from the public-archive</w:t>
      </w:r>
      <w:r>
        <w:t xml:space="preserve"> </w:t>
      </w:r>
      <w:r>
        <w:t xml:space="preserve">survey distributed with the companion software release [13] — a software record, not a</w:t>
      </w:r>
      <w:r>
        <w:t xml:space="preserve"> </w:t>
      </w:r>
      <w:r>
        <w:t xml:space="preserve">peer-reviewed study — and supplemented by direct collection queries. A metadata screen then rejected, in order and with each rejection</w:t>
      </w:r>
      <w:r>
        <w:t xml:space="preserve"> </w:t>
      </w:r>
      <w:r>
        <w:t xml:space="preserve">counted: non-patient collections (imaging phantoms and de-identification benchmarks);</w:t>
      </w:r>
      <w:r>
        <w:t xml:space="preserve"> </w:t>
      </w:r>
      <w:r>
        <w:t xml:space="preserve">projection and raw-data series, of which 398 were refused at this stage; non-diagnostic</w:t>
      </w:r>
      <w:r>
        <w:t xml:space="preserve"> </w:t>
      </w:r>
      <w:r>
        <w:t xml:space="preserve">series (localisers, dose reports, screen captures); series shorter than 40 or longer than</w:t>
      </w:r>
      <w:r>
        <w:t xml:space="preserve"> </w:t>
      </w:r>
      <w:r>
        <w:t xml:space="preserve">1200 images; and series outside the abdomen. One series was retained per patient per</w:t>
      </w:r>
      <w:r>
        <w:t xml:space="preserve"> </w:t>
      </w:r>
      <w:r>
        <w:t xml:space="preserve">collection, and each manufacturer’s quota was drawn round-robin across its collections so</w:t>
      </w:r>
      <w:r>
        <w:t xml:space="preserve"> </w:t>
      </w:r>
      <w:r>
        <w:t xml:space="preserve">that manufacturer was not confounded with a single collection.</w:t>
      </w:r>
    </w:p>
    <w:p>
      <w:pPr>
        <w:pStyle w:val="BodyText"/>
      </w:pPr>
      <w:r>
        <w:t xml:space="preserve">Ten series per manufacturer was chosen for what the study measures. Every quantity</w:t>
      </w:r>
      <w:r>
        <w:t xml:space="preserve"> </w:t>
      </w:r>
      <w:r>
        <w:t xml:space="preserve">reported here is a per-series or per-organ property computed by identical code, so the</w:t>
      </w:r>
      <w:r>
        <w:t xml:space="preserve"> </w:t>
      </w:r>
      <w:r>
        <w:t xml:space="preserve">comparison that matters is between organs within a patient, where each series is its own</w:t>
      </w:r>
      <w:r>
        <w:t xml:space="preserve"> </w:t>
      </w:r>
      <w:r>
        <w:t xml:space="preserve">control and 40 series yield 455 organ records. Ten per manufacturer supports a median and</w:t>
      </w:r>
      <w:r>
        <w:t xml:space="preserve"> </w:t>
      </w:r>
      <w:r>
        <w:t xml:space="preserve">an interquartile range for a manufacturer, which is what is reported, and does not support</w:t>
      </w:r>
      <w:r>
        <w:t xml:space="preserve"> </w:t>
      </w:r>
      <w:r>
        <w:t xml:space="preserve">a distributional claim about one, which is not. Nothing in the design is powered by adding</w:t>
      </w:r>
      <w:r>
        <w:t xml:space="preserve"> </w:t>
      </w:r>
      <w:r>
        <w:t xml:space="preserve">series: a larger cohort would narrow those interquartile ranges without changing what the</w:t>
      </w:r>
      <w:r>
        <w:t xml:space="preserve"> </w:t>
      </w:r>
      <w:r>
        <w:t xml:space="preserve">index is or whether its inputs survive archive curation.</w:t>
      </w:r>
    </w:p>
    <w:p>
      <w:pPr>
        <w:pStyle w:val="BodyText"/>
      </w:pPr>
      <w:r>
        <w:t xml:space="preserve">The selection is not a random sample of clinical CT and cannot be treated as one. Three</w:t>
      </w:r>
      <w:r>
        <w:t xml:space="preserve"> </w:t>
      </w:r>
      <w:r>
        <w:t xml:space="preserve">stages shape it. The metadata screen keeps abdominal, diagnostic, reconstructed series of</w:t>
      </w:r>
      <w:r>
        <w:t xml:space="preserve"> </w:t>
      </w:r>
      <w:r>
        <w:t xml:space="preserve">moderate length, so unusual acquisitions are removed by construction. The probe requires</w:t>
      </w:r>
      <w:r>
        <w:t xml:space="preserve"> </w:t>
      </w:r>
      <w:r>
        <w:t xml:space="preserve">per-slice tube current recorded on every probed image and genuine modulation, which</w:t>
      </w:r>
      <w:r>
        <w:t xml:space="preserve"> </w:t>
      </w:r>
      <w:r>
        <w:t xml:space="preserve">excludes fixed-current protocols entirely and, as Section 3.3 shows, correlates with</w:t>
      </w:r>
      <w:r>
        <w:t xml:space="preserve"> </w:t>
      </w:r>
      <w:r>
        <w:t xml:space="preserve">manufacturer through what the archive retained. The collections themselves are</w:t>
      </w:r>
      <w:r>
        <w:t xml:space="preserve"> </w:t>
      </w:r>
      <w:r>
        <w:t xml:space="preserve">oncological, so body habitus and organ appearance are those of a cancer population rather</w:t>
      </w:r>
      <w:r>
        <w:t xml:space="preserve"> </w:t>
      </w:r>
      <w:r>
        <w:t xml:space="preserve">than of a screening one. The direction of each effect can be stated even though its size</w:t>
      </w:r>
      <w:r>
        <w:t xml:space="preserve"> </w:t>
      </w:r>
      <w:r>
        <w:t xml:space="preserve">cannot: the cohort is biased towards modern modulated abdominal protocols on scanners</w:t>
      </w:r>
      <w:r>
        <w:t xml:space="preserve"> </w:t>
      </w:r>
      <w:r>
        <w:t xml:space="preserve">whose archived headers are complete, which is the population in which an</w:t>
      </w:r>
      <w:r>
        <w:t xml:space="preserve"> </w:t>
      </w:r>
      <w:r>
        <w:t xml:space="preserve">anatomy-weighted index is computable at all, and the availability fractions in Section 3.3</w:t>
      </w:r>
      <w:r>
        <w:t xml:space="preserve"> </w:t>
      </w:r>
      <w:r>
        <w:t xml:space="preserve">are therefore an upper bound on what a less selective cohort would yield.</w:t>
      </w:r>
    </w:p>
    <w:bookmarkEnd w:id="15"/>
    <w:bookmarkStart w:id="16" w:name="inclusion-criteria-and-header-probing"/>
    <w:p>
      <w:pPr>
        <w:pStyle w:val="Heading3"/>
      </w:pPr>
      <w:r>
        <w:t xml:space="preserve">2.2. Inclusion Criteria and Header Probing</w:t>
      </w:r>
    </w:p>
    <w:p>
      <w:pPr>
        <w:pStyle w:val="FirstParagraph"/>
      </w:pPr>
      <w:r>
        <w:t xml:space="preserve">Sixty-two surviving candidates were probed by fetching six image headers each and judged</w:t>
      </w:r>
      <w:r>
        <w:t xml:space="preserve"> </w:t>
      </w:r>
      <w:r>
        <w:t xml:space="preserve">on four requirements: per-slice tube current present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probed slice; that current</w:t>
      </w:r>
      <w:r>
        <w:t xml:space="preserve"> </w:t>
      </w:r>
      <w:r>
        <w:t xml:space="preserve">genuinely modulated (peak-to-peak over mean at least 0.02, so header rounding is not</w:t>
      </w:r>
      <w:r>
        <w:t xml:space="preserve"> </w:t>
      </w:r>
      <w:r>
        <w:t xml:space="preserve">mistaken for modulation); a defined Hounsfield rescale; and a reconstructed-image SOP</w:t>
      </w:r>
      <w:r>
        <w:t xml:space="preserve"> </w:t>
      </w:r>
      <w:r>
        <w:t xml:space="preserve">class with at least 40 slices spanning at least 120 mm. Forty series were kept, ten per</w:t>
      </w:r>
      <w:r>
        <w:t xml:space="preserve"> </w:t>
      </w:r>
      <w:r>
        <w:t xml:space="preserve">manufacturer.</w:t>
      </w:r>
    </w:p>
    <w:p>
      <w:pPr>
        <w:pStyle w:val="BodyText"/>
      </w:pPr>
      <w:r>
        <w:t xml:space="preserve">No imaging is redistributed. Each retained series is identified in the shipped provenance</w:t>
      </w:r>
      <w:r>
        <w:t xml:space="preserve"> </w:t>
      </w:r>
      <w:r>
        <w:t xml:space="preserve">record by collection, collection DOI, Series Instance UID, manufacturer, model, licence</w:t>
      </w:r>
      <w:r>
        <w:t xml:space="preserve"> </w:t>
      </w:r>
      <w:r>
        <w:t xml:space="preserve">and retrieval date. All forty series were retrieved under Creative Commons Attribution</w:t>
      </w:r>
      <w:r>
        <w:t xml:space="preserve"> </w:t>
      </w:r>
      <w:r>
        <w:t xml:space="preserve">licences — 33 under CC BY 4.0 and 7 under CC BY 3.0, as recorded per series in</w:t>
      </w:r>
      <w:r>
        <w:t xml:space="preserve"> </w:t>
      </w:r>
      <w:r>
        <w:rPr>
          <w:rStyle w:val="VerbatimChar"/>
        </w:rPr>
        <w:t xml:space="preserve">data/PROVENANCE.json</w:t>
      </w:r>
      <w:r>
        <w:t xml:space="preserve">; users must in every case observe the licence terms of the</w:t>
      </w:r>
      <w:r>
        <w:t xml:space="preserve"> </w:t>
      </w:r>
      <w:r>
        <w:t xml:space="preserve">originating collection and the TCIA Data Usage Policy.</w:t>
      </w:r>
    </w:p>
    <w:bookmarkEnd w:id="16"/>
    <w:bookmarkStart w:id="17" w:name="resolving-the-slice-grid"/>
    <w:p>
      <w:pPr>
        <w:pStyle w:val="Heading3"/>
      </w:pPr>
      <w:r>
        <w:t xml:space="preserve">2.3. Resolving the Slice Grid</w:t>
      </w:r>
    </w:p>
    <w:p>
      <w:pPr>
        <w:pStyle w:val="FirstParagraph"/>
      </w:pPr>
      <w:r>
        <w:t xml:space="preserve">Organ volume is a voxel count multiplied by a voxel volume, so slice spacing multiplies</w:t>
      </w:r>
      <w:r>
        <w:t xml:space="preserve"> </w:t>
      </w:r>
      <w:r>
        <w:t xml:space="preserve">every volume and every mass estimate. Two properties of archived series make the obvious</w:t>
      </w:r>
      <w:r>
        <w:t xml:space="preserve"> </w:t>
      </w:r>
      <w:r>
        <w:t xml:space="preserve">calculation wrong, and both are silent.</w:t>
      </w:r>
    </w:p>
    <w:p>
      <w:pPr>
        <w:pStyle w:val="BodyText"/>
      </w:pPr>
      <w:r>
        <w:t xml:space="preserve">First, the file count is not always the position count. One series in this cohort contains</w:t>
      </w:r>
      <w:r>
        <w:t xml:space="preserve"> </w:t>
      </w:r>
      <w:r>
        <w:t xml:space="preserve">160 images at 119 distinct longitudinal positions; taking the spacing as the extent</w:t>
      </w:r>
      <w:r>
        <w:t xml:space="preserve"> </w:t>
      </w:r>
      <w:r>
        <w:t xml:space="preserve">divided by the number of images gives 3.71 mm where the true spacing is 5.0 mm, and</w:t>
      </w:r>
      <w:r>
        <w:t xml:space="preserve"> </w:t>
      </w:r>
      <w:r>
        <w:t xml:space="preserve">stacking the duplicated images repeats anatomy so that organs occupy more slices than they</w:t>
      </w:r>
      <w:r>
        <w:t xml:space="preserve"> </w:t>
      </w:r>
      <w:r>
        <w:t xml:space="preserve">physically do. We therefore resolve the grid explicitly: one image per position, spacing</w:t>
      </w:r>
      <w:r>
        <w:t xml:space="preserve"> </w:t>
      </w:r>
      <w:r>
        <w:t xml:space="preserve">from the median step between neighbouring positions, and a uniformity check that refuses a</w:t>
      </w:r>
      <w:r>
        <w:t xml:space="preserve"> </w:t>
      </w:r>
      <w:r>
        <w:t xml:space="preserve">series whose steps vary by more than 2%. Two series proved to be a pair of reconstructions</w:t>
      </w:r>
      <w:r>
        <w:t xml:space="preserve"> </w:t>
      </w:r>
      <w:r>
        <w:t xml:space="preserve">interleaved under a single Series Instance UID; for these the largest regular sub-grid was</w:t>
      </w:r>
      <w:r>
        <w:t xml:space="preserve"> </w:t>
      </w:r>
      <w:r>
        <w:t xml:space="preserve">taken, accepted only when it preserves the full longitudinal extent.</w:t>
      </w:r>
    </w:p>
    <w:p>
      <w:pPr>
        <w:pStyle w:val="BodyText"/>
      </w:pPr>
      <w:r>
        <w:t xml:space="preserve">Second, the ordering of the slice axis is not guaranteed. Slice Location (0020,1041) runs</w:t>
      </w:r>
      <w:r>
        <w:t xml:space="preserve"> </w:t>
      </w:r>
      <w:r>
        <w:t xml:space="preserve">opposite in sign to Image Position (Patient) on three of the four manufacturers in this</w:t>
      </w:r>
      <w:r>
        <w:t xml:space="preserve"> </w:t>
      </w:r>
      <w:r>
        <w:t xml:space="preserve">sample, so a series sorted by the former arrives head-first. The segmentation is</w:t>
      </w:r>
      <w:r>
        <w:t xml:space="preserve"> </w:t>
      </w:r>
      <w:r>
        <w:t xml:space="preserve">unaffected, because the geometry handed to the segmenter is built from patient</w:t>
      </w:r>
      <w:r>
        <w:t xml:space="preserve"> </w:t>
      </w:r>
      <w:r>
        <w:t xml:space="preserve">coordinates; but the array index ceases to mean</w:t>
      </w:r>
      <w:r>
        <w:t xml:space="preserve"> </w:t>
      </w:r>
      <w:r>
        <w:t xml:space="preserve">“towards the head”</w:t>
      </w:r>
      <w:r>
        <w:t xml:space="preserve">, which reverses every</w:t>
      </w:r>
      <w:r>
        <w:t xml:space="preserve"> </w:t>
      </w:r>
      <w:r>
        <w:t xml:space="preserve">reported organ extent. Volumes are therefore canonicalised so that index zero is the most</w:t>
      </w:r>
      <w:r>
        <w:t xml:space="preserve"> </w:t>
      </w:r>
      <w:r>
        <w:t xml:space="preserve">inferior slice, with the tube current reordered alongside, since</w:t>
      </w:r>
      <w:r>
        <w:t xml:space="preserve"> </w:t>
      </w:r>
      <w:r>
        <w:rPr>
          <w:i/>
          <w:iCs/>
        </w:rPr>
        <w:t xml:space="preserve">I(z)</w:t>
      </w:r>
      <w:r>
        <w:t xml:space="preserve"> </w:t>
      </w:r>
      <w:r>
        <w:t xml:space="preserve">is paired to the</w:t>
      </w:r>
      <w:r>
        <w:t xml:space="preserve"> </w:t>
      </w:r>
      <w:r>
        <w:t xml:space="preserve">slice axis by index.</w:t>
      </w:r>
    </w:p>
    <w:bookmarkEnd w:id="17"/>
    <w:bookmarkStart w:id="18" w:name="reading-hounsfield-units"/>
    <w:p>
      <w:pPr>
        <w:pStyle w:val="Heading3"/>
      </w:pPr>
      <w:r>
        <w:t xml:space="preserve">2.4. Reading Hounsfield Units</w:t>
      </w:r>
    </w:p>
    <w:p>
      <w:pPr>
        <w:pStyle w:val="FirstParagraph"/>
      </w:pPr>
      <w:r>
        <w:t xml:space="preserve">Outside the reconstruction circle an image carries a padding value rather than a</w:t>
      </w:r>
      <w:r>
        <w:t xml:space="preserve"> </w:t>
      </w:r>
      <w:r>
        <w:t xml:space="preserve">measurement, and that value must be replaced with air before anything is measured. Pixel</w:t>
      </w:r>
      <w:r>
        <w:t xml:space="preserve"> </w:t>
      </w:r>
      <w:r>
        <w:t xml:space="preserve">Padding Value (0028,0120) has a value representation that depends on Pixel Representation,</w:t>
      </w:r>
      <w:r>
        <w:t xml:space="preserve"> </w:t>
      </w:r>
      <w:r>
        <w:t xml:space="preserve">and this is not reliably honoured: in this sample one export writes 63,536 with an</w:t>
      </w:r>
      <w:r>
        <w:t xml:space="preserve"> </w:t>
      </w:r>
      <w:r>
        <w:t xml:space="preserve">unsigned representation on signed pixel data, which is the two’s complement encoding of</w:t>
      </w:r>
      <w:r>
        <w:t xml:space="preserve"> </w:t>
      </w:r>
      <w:r>
        <w:t xml:space="preserve">the −2000 intended. Read literally, that places the padding threshold above every</w:t>
      </w:r>
      <w:r>
        <w:t xml:space="preserve"> </w:t>
      </w:r>
      <w:r>
        <w:t xml:space="preserve">Hounsfield value in the image, and the volume becomes uniform air. Four series were</w:t>
      </w:r>
      <w:r>
        <w:t xml:space="preserve"> </w:t>
      </w:r>
      <w:r>
        <w:t xml:space="preserve">affected, with no symptom other than a segmenter returning empty masks. We reinterpret the</w:t>
      </w:r>
      <w:r>
        <w:t xml:space="preserve"> </w:t>
      </w:r>
      <w:r>
        <w:t xml:space="preserve">padding value against Pixel Representation, and additionally refuse any padding rule that</w:t>
      </w:r>
      <w:r>
        <w:t xml:space="preserve"> </w:t>
      </w:r>
      <w:r>
        <w:t xml:space="preserve">would blank essentially the whole image.</w:t>
      </w:r>
    </w:p>
    <w:bookmarkEnd w:id="18"/>
    <w:bookmarkStart w:id="19" w:name="segmentation"/>
    <w:p>
      <w:pPr>
        <w:pStyle w:val="Heading3"/>
      </w:pPr>
      <w:r>
        <w:t xml:space="preserve">2.5. Segmentation</w:t>
      </w:r>
    </w:p>
    <w:p>
      <w:pPr>
        <w:pStyle w:val="FirstParagraph"/>
      </w:pPr>
      <w:r>
        <w:t xml:space="preserve">Twelve abdominal organs were segmented with TotalSegmentator v2.17 [8],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task, 1.5</w:t>
      </w:r>
      <w:r>
        <w:t xml:space="preserve"> </w:t>
      </w:r>
      <w:r>
        <w:t xml:space="preserve">mm full-resolution model, at inference only; no weights were trained, modified or</w:t>
      </w:r>
      <w:r>
        <w:t xml:space="preserve"> </w:t>
      </w:r>
      <w:r>
        <w:t xml:space="preserve">redistributed.</w:t>
      </w:r>
    </w:p>
    <w:p>
      <w:pPr>
        <w:pStyle w:val="BodyText"/>
      </w:pPr>
      <w:r>
        <w:t xml:space="preserve">TotalSegmentator is an nnU-Net model [9]. nnU-Net is not a fixed architecture but a</w:t>
      </w:r>
      <w:r>
        <w:t xml:space="preserve"> </w:t>
      </w:r>
      <w:r>
        <w:t xml:space="preserve">self-configuring pipeline: from the spacing, size and intensity distribution of a training</w:t>
      </w:r>
      <w:r>
        <w:t xml:space="preserve"> </w:t>
      </w:r>
      <w:r>
        <w:t xml:space="preserve">set it derives the patch size, the batch size, the pooling depth and the normalisation</w:t>
      </w:r>
      <w:r>
        <w:t xml:space="preserve"> </w:t>
      </w:r>
      <w:r>
        <w:t xml:space="preserve">scheme, and instantiates an encoder–decoder convolutional network of the U-Net family with</w:t>
      </w:r>
      <w:r>
        <w:t xml:space="preserve"> </w:t>
      </w:r>
      <w:r>
        <w:t xml:space="preserve">those settings. The self-configuration and its validation are examined further in [14]. The network used here is the three-dimensional full-resolution variant,</w:t>
      </w:r>
      <w:r>
        <w:t xml:space="preserve"> </w:t>
      </w:r>
      <w:r>
        <w:t xml:space="preserve">which processes overlapping patches of the volume and aggregates them with Gaussian</w:t>
      </w:r>
      <w:r>
        <w:t xml:space="preserve"> </w:t>
      </w:r>
      <w:r>
        <w:t xml:space="preserve">weighting, so that a voxel near a patch border is decided mainly by the patch in which it</w:t>
      </w:r>
      <w:r>
        <w:t xml:space="preserve"> </w:t>
      </w:r>
      <w:r>
        <w:t xml:space="preserve">sits centrally. The published model was trained on a corpus of computed tomography</w:t>
      </w:r>
      <w:r>
        <w:t xml:space="preserve"> </w:t>
      </w:r>
      <w:r>
        <w:t xml:space="preserve">covering 104 anatomical structures across a wide range of scanners, protocols and body</w:t>
      </w:r>
      <w:r>
        <w:t xml:space="preserve"> </w:t>
      </w:r>
      <w:r>
        <w:t xml:space="preserve">regions [8]; the twelve abdominal structures used here are a subset of its output classes.</w:t>
      </w:r>
      <w:r>
        <w:t xml:space="preserve"> </w:t>
      </w:r>
      <w:r>
        <w:t xml:space="preserve">Inference used the released weights with the default configuration, on one GPU, in a</w:t>
      </w:r>
      <w:r>
        <w:t xml:space="preserve"> </w:t>
      </w:r>
      <w:r>
        <w:t xml:space="preserve">separate child process, because nnU-Net spawns its own worker processes and doing so from</w:t>
      </w:r>
      <w:r>
        <w:t xml:space="preserve"> </w:t>
      </w:r>
      <w:r>
        <w:t xml:space="preserve">a long-lived parent leaks them on Windows.</w:t>
      </w:r>
    </w:p>
    <w:p>
      <w:pPr>
        <w:pStyle w:val="BodyText"/>
      </w:pPr>
      <w:r>
        <w:t xml:space="preserve">The series is written to NIfTI by our own code, with an affine constructed from the DICOM</w:t>
      </w:r>
      <w:r>
        <w:t xml:space="preserve"> </w:t>
      </w:r>
      <w:r>
        <w:t xml:space="preserve">patient coordinates, and the masks return on that same grid; the correspondence between</w:t>
      </w:r>
      <w:r>
        <w:t xml:space="preserve"> </w:t>
      </w:r>
      <w:r>
        <w:t xml:space="preserve">mask voxel and image voxel is therefore the identity by construction, and is asserted</w:t>
      </w:r>
      <w:r>
        <w:t xml:space="preserve"> </w:t>
      </w:r>
      <w:r>
        <w:t xml:space="preserve">rather than assumed. A mirrored segmentation would otherwise produce entirely plausible</w:t>
      </w:r>
      <w:r>
        <w:t xml:space="preserve"> </w:t>
      </w:r>
      <w:r>
        <w:t xml:space="preserve">volumes and Hounsfield values while pairing every organ with the wrong anatomy.</w:t>
      </w:r>
    </w:p>
    <w:p>
      <w:pPr>
        <w:pStyle w:val="BodyText"/>
      </w:pPr>
      <w:r>
        <w:t xml:space="preserve">The patient outline, used for the water-equivalent diameter, was taken from a</w:t>
      </w:r>
      <w:r>
        <w:t xml:space="preserve"> </w:t>
      </w:r>
      <w:r>
        <w:t xml:space="preserve">deterministic threshold contour following AAPM Report 220 [15]. Figure 2 illustrates the</w:t>
      </w:r>
      <w:r>
        <w:t xml:space="preserve"> </w:t>
      </w:r>
      <w:r>
        <w:t xml:space="preserve">segmentation output and its correspondence with the CT anatomy in the representative</w:t>
      </w:r>
      <w:r>
        <w:t xml:space="preserve"> </w:t>
      </w:r>
      <w:r>
        <w:t xml:space="preserve">acquisition used for the end-to-end example.</w:t>
      </w:r>
    </w:p>
    <w:bookmarkEnd w:id="19"/>
    <w:bookmarkStart w:id="20" w:name="segmentation-quality-control"/>
    <w:p>
      <w:pPr>
        <w:pStyle w:val="Heading3"/>
      </w:pPr>
      <w:r>
        <w:t xml:space="preserve">2.6. Segmentation Quality Control</w:t>
      </w:r>
    </w:p>
    <w:p>
      <w:pPr>
        <w:pStyle w:val="FirstParagraph"/>
      </w:pPr>
      <w:r>
        <w:t xml:space="preserve">No mask was manually corrected, and none was used without being checked. Two procedures</w:t>
      </w:r>
      <w:r>
        <w:t xml:space="preserve"> </w:t>
      </w:r>
      <w:r>
        <w:t xml:space="preserve">were applied to every series, both automated in the first instance and one of them</w:t>
      </w:r>
      <w:r>
        <w:t xml:space="preserve"> </w:t>
      </w:r>
      <w:r>
        <w:t xml:space="preserve">followed by direct inspection of the images.</w:t>
      </w:r>
    </w:p>
    <w:p>
      <w:pPr>
        <w:pStyle w:val="BodyText"/>
      </w:pPr>
      <w:r>
        <w:t xml:space="preserve">The first is a set of anatomical assertions run over the completed record of all 40</w:t>
      </w:r>
      <w:r>
        <w:t xml:space="preserve"> </w:t>
      </w:r>
      <w:r>
        <w:t xml:space="preserve">series. They test properties that a correct segmentation cannot violate and an incorrect</w:t>
      </w:r>
      <w:r>
        <w:t xml:space="preserve"> </w:t>
      </w:r>
      <w:r>
        <w:t xml:space="preserve">one violates conspicuously: that the left-sided organ of each pair lies on the patient’s</w:t>
      </w:r>
      <w:r>
        <w:t xml:space="preserve"> </w:t>
      </w:r>
      <w:r>
        <w:t xml:space="preserve">left; that the adrenal gland lies superior to the kidney on the same side; that each</w:t>
      </w:r>
      <w:r>
        <w:t xml:space="preserve"> </w:t>
      </w:r>
      <w:r>
        <w:t xml:space="preserve">organ’s attenuation-derived mass falls inside a plausibility band around its ICRP 89</w:t>
      </w:r>
      <w:r>
        <w:t xml:space="preserve"> </w:t>
      </w:r>
      <w:r>
        <w:t xml:space="preserve">reference value [10]; and that the organ modulation weights vary between organs and</w:t>
      </w:r>
      <w:r>
        <w:t xml:space="preserve"> </w:t>
      </w:r>
      <w:r>
        <w:t xml:space="preserve">bracket the scan mean, which they must if the weighting is being applied at all to a</w:t>
      </w:r>
      <w:r>
        <w:t xml:space="preserve"> </w:t>
      </w:r>
      <w:r>
        <w:t xml:space="preserve">modulated acquisition. The first two are tripwires for the failure modes that leave no</w:t>
      </w:r>
      <w:r>
        <w:t xml:space="preserve"> </w:t>
      </w:r>
      <w:r>
        <w:t xml:space="preserve">other trace — a mirrored volume, or an inverted head–foot ordering — because both produce</w:t>
      </w:r>
      <w:r>
        <w:t xml:space="preserve"> </w:t>
      </w:r>
      <w:r>
        <w:t xml:space="preserve">masks whose volumes and Hounsfield statistics look entirely ordinary.</w:t>
      </w:r>
    </w:p>
    <w:p>
      <w:pPr>
        <w:pStyle w:val="BodyText"/>
      </w:pPr>
      <w:r>
        <w:t xml:space="preserve">14 of the 40 series raised at least one flag, 28 flags in all. None was a laterality</w:t>
      </w:r>
      <w:r>
        <w:t xml:space="preserve"> </w:t>
      </w:r>
      <w:r>
        <w:t xml:space="preserve">failure and none was an inversion. The flags divide into four kinds. 10 were the weights</w:t>
      </w:r>
      <w:r>
        <w:t xml:space="preserve"> </w:t>
      </w:r>
      <w:r>
        <w:t xml:space="preserve">failing to bracket the scan mean, which the check itself reports as expected when the</w:t>
      </w:r>
      <w:r>
        <w:t xml:space="preserve"> </w:t>
      </w:r>
      <w:r>
        <w:t xml:space="preserve">acquisition extends beyond the abdomen: in a chest–abdomen–pelvis series the scan mean</w:t>
      </w:r>
      <w:r>
        <w:t xml:space="preserve"> </w:t>
      </w:r>
      <w:r>
        <w:t xml:space="preserve">includes regions no abdominal organ occupies, and the abdominal weights then sit to one</w:t>
      </w:r>
      <w:r>
        <w:t xml:space="preserve"> </w:t>
      </w:r>
      <w:r>
        <w:t xml:space="preserve">side of it. 15 were organ masses outside the plausibility band. Two were the organ</w:t>
      </w:r>
      <w:r>
        <w:t xml:space="preserve"> </w:t>
      </w:r>
      <w:r>
        <w:t xml:space="preserve">weights not varying between organs, which occurs when the tube current is effectively</w:t>
      </w:r>
      <w:r>
        <w:t xml:space="preserve"> </w:t>
      </w:r>
      <w:r>
        <w:t xml:space="preserve">constant over the abdominal extent rather than when the weighting has failed; those series</w:t>
      </w:r>
      <w:r>
        <w:t xml:space="preserve"> </w:t>
      </w:r>
      <w:r>
        <w:t xml:space="preserve">are separately excluded from the quantitative analysis by the acquisition-constancy</w:t>
      </w:r>
      <w:r>
        <w:t xml:space="preserve"> </w:t>
      </w:r>
      <w:r>
        <w:t xml:space="preserve">criterion of Section 2.10. One was a borderline superior–inferior ordering, an adrenal and</w:t>
      </w:r>
      <w:r>
        <w:t xml:space="preserve"> </w:t>
      </w:r>
      <w:r>
        <w:t xml:space="preserve">kidney centroid separated by five voxels on a series where the two structures abut.</w:t>
      </w:r>
    </w:p>
    <w:p>
      <w:pPr>
        <w:pStyle w:val="BodyText"/>
      </w:pPr>
      <w:r>
        <w:t xml:space="preserve">The second procedure addresses the mass flags, because an organ mass far from its</w:t>
      </w:r>
      <w:r>
        <w:t xml:space="preserve"> </w:t>
      </w:r>
      <w:r>
        <w:t xml:space="preserve">reference value has two explanations that are indistinguishable in a table: a patient</w:t>
      </w:r>
      <w:r>
        <w:t xml:space="preserve"> </w:t>
      </w:r>
      <w:r>
        <w:t xml:space="preserve">whose organ really is that size, and a mask that has leaked into neighbouring tissue. Only</w:t>
      </w:r>
      <w:r>
        <w:t xml:space="preserve"> </w:t>
      </w:r>
      <w:r>
        <w:t xml:space="preserve">the image separates them. The organs furthest from their reference mass were rendered as</w:t>
      </w:r>
      <w:r>
        <w:t xml:space="preserve"> </w:t>
      </w:r>
      <w:r>
        <w:t xml:space="preserve">contours over their own CT at three levels each, with laterality and slice index annotated</w:t>
      </w:r>
      <w:r>
        <w:t xml:space="preserve"> </w:t>
      </w:r>
      <w:r>
        <w:t xml:space="preserve">on every panel, and inspected. The most extreme case in the cohort — a spleen of 671 g,</w:t>
      </w:r>
      <w:r>
        <w:t xml:space="preserve"> </w:t>
      </w:r>
      <w:r>
        <w:t xml:space="preserve">4.5 times the ICRP 89 reference — is a clean segmentation of a genuinely enlarged spleen</w:t>
      </w:r>
      <w:r>
        <w:t xml:space="preserve"> </w:t>
      </w:r>
      <w:r>
        <w:t xml:space="preserve">in a renal-carcinoma patient, the contour following the organ boundary at every level over</w:t>
      </w:r>
      <w:r>
        <w:t xml:space="preserve"> </w:t>
      </w:r>
      <w:r>
        <w:t xml:space="preserve">homogeneous parenchyma. The cohort is drawn from oncological collections, in which organ</w:t>
      </w:r>
      <w:r>
        <w:t xml:space="preserve"> </w:t>
      </w:r>
      <w:r>
        <w:t xml:space="preserve">enlargement is common; a plausibility band built on reference values for a healthy adult</w:t>
      </w:r>
      <w:r>
        <w:t xml:space="preserve"> </w:t>
      </w:r>
      <w:r>
        <w:t xml:space="preserve">is therefore expected to flag real anatomy, and does.</w:t>
      </w:r>
    </w:p>
    <w:p>
      <w:pPr>
        <w:pStyle w:val="BodyText"/>
      </w:pPr>
      <w:r>
        <w:t xml:space="preserve">The opposite tail does not admit that explanation. The smallest mass in the cohort is a</w:t>
      </w:r>
      <w:r>
        <w:t xml:space="preserve"> </w:t>
      </w:r>
      <w:r>
        <w:t xml:space="preserve">left kidney of 4.3 g on a Philips Brilliance 64 series, segmented at 4.0 cm³ and not</w:t>
      </w:r>
      <w:r>
        <w:t xml:space="preserve"> </w:t>
      </w:r>
      <w:r>
        <w:t xml:space="preserve">truncated by the scan boundary. No adult kidney is that size, so this is a failed mask</w:t>
      </w:r>
      <w:r>
        <w:t xml:space="preserve"> </w:t>
      </w:r>
      <w:r>
        <w:t xml:space="preserve">rather than unusual anatomy: the mass plausibility check flagged it, and it is the one</w:t>
      </w:r>
      <w:r>
        <w:t xml:space="preserve"> </w:t>
      </w:r>
      <w:r>
        <w:t xml:space="preserve">segmentation failure the cohort contains. It is reported here and retained in the</w:t>
      </w:r>
      <w:r>
        <w:t xml:space="preserve"> </w:t>
      </w:r>
      <w:r>
        <w:t xml:space="preserve">analysis rather than removed, because a cohort with its failures deleted cannot be</w:t>
      </w:r>
      <w:r>
        <w:t xml:space="preserve"> </w:t>
      </w:r>
      <w:r>
        <w:t xml:space="preserve">audited. Its effect is small and is stated so that the reader does not have to take that</w:t>
      </w:r>
      <w:r>
        <w:t xml:space="preserve"> </w:t>
      </w:r>
      <w:r>
        <w:t xml:space="preserve">on trust: excluding it moves the published median left-kidney modulation weight from 1.036 to</w:t>
      </w:r>
      <w:r>
        <w:t xml:space="preserve"> </w:t>
      </w:r>
      <w:r>
        <w:t xml:space="preserve">1.035.</w:t>
      </w:r>
      <w:r>
        <w:t xml:space="preserve"> </w:t>
      </w:r>
      <w:r>
        <w:t xml:space="preserve">It is annotated in the mass comparison of Section 3.5.</w:t>
      </w:r>
    </w:p>
    <w:p>
      <w:pPr>
        <w:pStyle w:val="BodyText"/>
      </w:pPr>
      <w:r>
        <w:t xml:space="preserve">That case also marks the boundary of what these checks can do. They are automated</w:t>
      </w:r>
      <w:r>
        <w:t xml:space="preserve"> </w:t>
      </w:r>
      <w:r>
        <w:t xml:space="preserve">assertions about laterality, ordering and mass, applied without a reference segmentation,</w:t>
      </w:r>
      <w:r>
        <w:t xml:space="preserve"> </w:t>
      </w:r>
      <w:r>
        <w:t xml:space="preserve">because none exists for this cohort — the images are public and de-identified, and no</w:t>
      </w:r>
      <w:r>
        <w:t xml:space="preserve"> </w:t>
      </w:r>
      <w:r>
        <w:t xml:space="preserve">manually corrected masks accompany them. Checks of that kind detect gross failure</w:t>
      </w:r>
      <w:r>
        <w:t xml:space="preserve"> </w:t>
      </w:r>
      <w:r>
        <w:t xml:space="preserve">reliably: a mirrored volume, an inverted ordering, a mask that has collapsed or leaked far</w:t>
      </w:r>
      <w:r>
        <w:t xml:space="preserve"> </w:t>
      </w:r>
      <w:r>
        <w:t xml:space="preserve">enough to move the organ’s mass outside a wide band. They cannot detect a mask that is</w:t>
      </w:r>
      <w:r>
        <w:t xml:space="preserve"> </w:t>
      </w:r>
      <w:r>
        <w:t xml:space="preserve">systematically displaced yet plausible — a boundary drawn a few millimetres into</w:t>
      </w:r>
      <w:r>
        <w:t xml:space="preserve"> </w:t>
      </w:r>
      <w:r>
        <w:t xml:space="preserve">neighbouring tissue throughout, which leaves laterality, ordering and mass all within</w:t>
      </w:r>
      <w:r>
        <w:t xml:space="preserve"> </w:t>
      </w:r>
      <w:r>
        <w:t xml:space="preserve">range. Quantifying that residual error would require a manually corrected reference</w:t>
      </w:r>
      <w:r>
        <w:t xml:space="preserve"> </w:t>
      </w:r>
      <w:r>
        <w:t xml:space="preserve">standard, which this study does not have and does not claim.</w:t>
      </w:r>
    </w:p>
    <w:p>
      <w:pPr>
        <w:pStyle w:val="BodyText"/>
      </w:pPr>
      <w:r>
        <w:t xml:space="preserve">Segmentation error enters the index through one channel only, and it is not the channel</w:t>
      </w:r>
      <w:r>
        <w:t xml:space="preserve"> </w:t>
      </w:r>
      <w:r>
        <w:t xml:space="preserve">intuition suggests. The weight is the mean tube current over the organ’s longitudinal</w:t>
      </w:r>
      <w:r>
        <w:t xml:space="preserve"> </w:t>
      </w:r>
      <w:r>
        <w:t xml:space="preserve">extent, relative to the scan mean, so an error that moves the superior or inferior</w:t>
      </w:r>
      <w:r>
        <w:t xml:space="preserve"> </w:t>
      </w:r>
      <w:r>
        <w:t xml:space="preserve">boundary of an organ changes which slices contribute and moves the weight. An error in</w:t>
      </w:r>
      <w:r>
        <w:t xml:space="preserve"> </w:t>
      </w:r>
      <w:r>
        <w:t xml:space="preserve">the in-plane boundary at unchanged longitudinal extent does not: the same slices are</w:t>
      </w:r>
      <w:r>
        <w:t xml:space="preserve"> </w:t>
      </w:r>
      <w:r>
        <w:t xml:space="preserve">averaged, with the same tube current on each. The quantity is therefore insensitive to the</w:t>
      </w:r>
      <w:r>
        <w:t xml:space="preserve"> </w:t>
      </w:r>
      <w:r>
        <w:t xml:space="preserve">kind of boundary error that dominates segmentation metrics such as the Dice coefficient,</w:t>
      </w:r>
      <w:r>
        <w:t xml:space="preserve"> </w:t>
      </w:r>
      <w:r>
        <w:t xml:space="preserve">and sensitive to a kind those metrics weight lightly. This is stated as a property of the</w:t>
      </w:r>
      <w:r>
        <w:t xml:space="preserve"> </w:t>
      </w:r>
      <w:r>
        <w:t xml:space="preserve">construction rather than as a measured sensitivity, which the present cohort — with no</w:t>
      </w:r>
      <w:r>
        <w:t xml:space="preserve"> </w:t>
      </w:r>
      <w:r>
        <w:t xml:space="preserve">manually corrected reference — cannot supply.</w:t>
      </w:r>
    </w:p>
    <w:bookmarkEnd w:id="20"/>
    <w:bookmarkStart w:id="21" w:name="attenuation-derived-estimated-organ-mass"/>
    <w:p>
      <w:pPr>
        <w:pStyle w:val="Heading3"/>
      </w:pPr>
      <w:r>
        <w:t xml:space="preserve">2.7. Attenuation-Derived Estimated Organ Mass</w:t>
      </w:r>
    </w:p>
    <w:p>
      <w:pPr>
        <w:pStyle w:val="FirstParagraph"/>
      </w:pPr>
      <w:r>
        <w:t xml:space="preserve">Hounsfield units were converted to mass density by piecewise-linear interpolation through</w:t>
      </w:r>
      <w:r>
        <w:t xml:space="preserve"> </w:t>
      </w:r>
      <w:r>
        <w:t xml:space="preserve">reference tissue anchor points, taking the densities from ICRU Report 44 [16] and the</w:t>
      </w:r>
      <w:r>
        <w:t xml:space="preserve"> </w:t>
      </w:r>
      <w:r>
        <w:t xml:space="preserve">construction from Schneider et al. [17]. Estimated organ mass is the sum of local density</w:t>
      </w:r>
      <w:r>
        <w:t xml:space="preserve"> </w:t>
      </w:r>
      <w:r>
        <w:t xml:space="preserve">over mask voxels multiplied by the voxel volume.</w:t>
      </w:r>
    </w:p>
    <w:p>
      <w:pPr>
        <w:pStyle w:val="BodyText"/>
      </w:pPr>
      <w:r>
        <w:t xml:space="preserve">These are</w:t>
      </w:r>
      <w:r>
        <w:t xml:space="preserve"> </w:t>
      </w:r>
      <w:r>
        <w:rPr>
          <w:b/>
          <w:bCs/>
        </w:rPr>
        <w:t xml:space="preserve">model-based estimates, not measurements</w:t>
      </w:r>
      <w:r>
        <w:t xml:space="preserve">. Contrast enhancement, tube voltage,</w:t>
      </w:r>
      <w:r>
        <w:t xml:space="preserve"> </w:t>
      </w:r>
      <w:r>
        <w:t xml:space="preserve">reconstruction kernel and scanner-specific HU calibration may all affect</w:t>
      </w:r>
      <w:r>
        <w:t xml:space="preserve"> </w:t>
      </w:r>
      <w:r>
        <w:t xml:space="preserve">attenuation-derived density estimates, and none was controlled in this archive cohort:</w:t>
      </w:r>
      <w:r>
        <w:t xml:space="preserve"> </w:t>
      </w:r>
      <w:r>
        <w:t xml:space="preserve">contrast phase in particular varies between and within collections. The reported masses</w:t>
      </w:r>
      <w:r>
        <w:t xml:space="preserve"> </w:t>
      </w:r>
      <w:r>
        <w:t xml:space="preserve">should therefore be interpreted as model-based estimates rather than physical ground</w:t>
      </w:r>
      <w:r>
        <w:t xml:space="preserve"> </w:t>
      </w:r>
      <w:r>
        <w:t xml:space="preserve">truth. The HU-to-density curve itself is replaceable and travels into the provenance of</w:t>
      </w:r>
      <w:r>
        <w:t xml:space="preserve"> </w:t>
      </w:r>
      <w:r>
        <w:t xml:space="preserve">every estimate; abdominal soft tissue is relatively insensitive to the choice, since</w:t>
      </w:r>
      <w:r>
        <w:t xml:space="preserve"> </w:t>
      </w:r>
      <w:r>
        <w:t xml:space="preserve">perturbing the water-to-muscle slope by 10% changes an abdominal organ-mass estimate by</w:t>
      </w:r>
      <w:r>
        <w:t xml:space="preserve"> </w:t>
      </w:r>
      <w:r>
        <w:t xml:space="preserve">less than 1%.</w:t>
      </w:r>
    </w:p>
    <w:bookmarkEnd w:id="21"/>
    <w:bookmarkStart w:id="22" w:name="the-anatomy-weighted-ctdivol-index"/>
    <w:p>
      <w:pPr>
        <w:pStyle w:val="Heading3"/>
      </w:pPr>
      <w:r>
        <w:t xml:space="preserve">2.8. The Anatomy-Weighted CTDIvol Index</w:t>
      </w:r>
    </w:p>
    <w:p>
      <w:pPr>
        <w:pStyle w:val="FirstParagraph"/>
      </w:pPr>
      <w:r>
        <w:t xml:space="preserve">Let an organ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occupy slices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per-slice voxel counts</w:t>
      </w:r>
      <w:r>
        <w:t xml:space="preserve"> </w:t>
      </w:r>
      <m:oMath>
        <m:sSub>
          <m:e>
            <m:r>
              <m:t>n</m:t>
            </m:r>
          </m:e>
          <m:sub>
            <m:r>
              <m:t>o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 and let the</w:t>
      </w:r>
      <w:r>
        <w:t xml:space="preserve"> </w:t>
      </w:r>
      <w:r>
        <w:t xml:space="preserve">series carry per-slice tube current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over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images. The numerator of the</w:t>
      </w:r>
      <w:r>
        <w:t xml:space="preserve"> </w:t>
      </w:r>
      <w:r>
        <w:t xml:space="preserve">organ-specific modulation weight is the voxel-weighted mean tube current over the organ’s</w:t>
      </w:r>
      <w:r>
        <w:t xml:space="preserve"> </w:t>
      </w:r>
      <w:r>
        <w:t xml:space="preserve">own longitudinal extent,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I</m:t>
                  </m:r>
                </m:e>
              </m:acc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o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z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o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weights each slice by how much of the organ it contains, so a slice through the</w:t>
      </w:r>
      <w:r>
        <w:t xml:space="preserve"> </w:t>
      </w:r>
      <w:r>
        <w:t xml:space="preserve">widest part of the liver counts for more than one clipping its dome. The denominator is</w:t>
      </w:r>
      <w:r>
        <w:t xml:space="preserve"> </w:t>
      </w:r>
      <w:r>
        <w:t xml:space="preserve">the mean over the whole series,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z</m:t>
              </m:r>
            </m:sub>
            <m:sup>
              <m:r>
                <m:t>​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weight and the index are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I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I</m:t>
                  </m:r>
                </m:e>
              </m:acc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D</m:t>
          </m:r>
          <m:r>
            <m:rPr>
              <m:sty m:val="p"/>
            </m:rPr>
            <m:t>I</m:t>
          </m:r>
          <m:r>
            <m:rPr>
              <m:sty m:val="p"/>
            </m:rPr>
            <m:t>v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 is dimensionless and is the transferable quantity: it expresses the recorded</w:t>
      </w:r>
      <w:r>
        <w:t xml:space="preserve"> </w:t>
      </w:r>
      <w:r>
        <w:t xml:space="preserve">longitudinal tube-current conditions over the organ relative to the scan mean,</w:t>
      </w:r>
      <w:r>
        <w:t xml:space="preserve"> </w:t>
      </w:r>
      <w:r>
        <w:t xml:space="preserve">independently of the scanner’s own output. A weight of unity means the organ lay where</w:t>
      </w:r>
      <w:r>
        <w:t xml:space="preserve"> </w:t>
      </w:r>
      <w:r>
        <w:t xml:space="preserve">the tube current happened to equal the scan average; the departure from unity is what a</w:t>
      </w:r>
      <w:r>
        <w:t xml:space="preserve"> </w:t>
      </w:r>
      <w:r>
        <w:t xml:space="preserve">single whole-scan value cannot carry.</w:t>
      </w:r>
    </w:p>
    <w:p>
      <w:pPr>
        <w:pStyle w:val="BodyText"/>
      </w:pPr>
      <w:r>
        <w:t xml:space="preserve">The weighting assumes that, within each series, tube voltage, rotation or exposure time,</w:t>
      </w:r>
      <w:r>
        <w:t xml:space="preserve"> </w:t>
      </w:r>
      <w:r>
        <w:t xml:space="preserve">pitch and beam collimation remain fixed, so that longitudinal changes in scanner output</w:t>
      </w:r>
      <w:r>
        <w:t xml:space="preserve"> </w:t>
      </w:r>
      <w:r>
        <w:t xml:space="preserve">are proportional to the recorded tube current.</w:t>
      </w:r>
    </w:p>
    <w:bookmarkEnd w:id="22"/>
    <w:bookmarkStart w:id="23" w:name="the-acquisition-constancy-criterion"/>
    <w:p>
      <w:pPr>
        <w:pStyle w:val="Heading3"/>
      </w:pPr>
      <w:r>
        <w:t xml:space="preserve">2.9. The Acquisition-Constancy Criterion</w:t>
      </w:r>
    </w:p>
    <w:p>
      <w:pPr>
        <w:pStyle w:val="FirstParagraph"/>
      </w:pPr>
      <w:r>
        <w:t xml:space="preserve">We formalised this assumption as a rule-based eligibility criterion and applied it</w:t>
      </w:r>
      <w:r>
        <w:t xml:space="preserve"> </w:t>
      </w:r>
      <w:r>
        <w:t xml:space="preserve">mechanically:</w:t>
      </w:r>
    </w:p>
    <w:p>
      <w:pPr>
        <w:pStyle w:val="BlockText"/>
      </w:pPr>
      <w:r>
        <w:t xml:space="preserve">A series is eligible for quantitative anatomy-weighted CTDIvol analysis only when the</w:t>
      </w:r>
      <w:r>
        <w:t xml:space="preserve"> </w:t>
      </w:r>
      <w:r>
        <w:t xml:space="preserve">acquisition parameters required for scanner output to remain proportional to the</w:t>
      </w:r>
      <w:r>
        <w:t xml:space="preserve"> </w:t>
      </w:r>
      <w:r>
        <w:t xml:space="preserve">recorded tube current are constant within that series, to the extent verifiable from the</w:t>
      </w:r>
      <w:r>
        <w:t xml:space="preserve"> </w:t>
      </w:r>
      <w:r>
        <w:t xml:space="preserve">archived DICOM headers.</w:t>
      </w:r>
    </w:p>
    <w:p>
      <w:pPr>
        <w:pStyle w:val="FirstParagraph"/>
      </w:pPr>
      <w:r>
        <w:t xml:space="preserve">Every slice header of every series was read and each output-governing attribute — tube</w:t>
      </w:r>
      <w:r>
        <w:t xml:space="preserve"> </w:t>
      </w:r>
      <w:r>
        <w:t xml:space="preserve">voltage, exposure time, rotation time, pitch and total collimation width — classified into</w:t>
      </w:r>
      <w:r>
        <w:t xml:space="preserve"> </w:t>
      </w:r>
      <w:r>
        <w:t xml:space="preserve">one of four states.</w:t>
      </w:r>
      <w:r>
        <w:t xml:space="preserve"> </w:t>
      </w:r>
      <w:r>
        <w:rPr>
          <w:i/>
          <w:iCs/>
        </w:rPr>
        <w:t xml:space="preserve">Verified constant</w:t>
      </w:r>
      <w:r>
        <w:t xml:space="preserve">: one value throughout.</w:t>
      </w:r>
      <w:r>
        <w:t xml:space="preserve"> </w:t>
      </w:r>
      <w:r>
        <w:rPr>
          <w:i/>
          <w:iCs/>
        </w:rPr>
        <w:t xml:space="preserve">Absent</w:t>
      </w:r>
      <w:r>
        <w:t xml:space="preserve">: never written to</w:t>
      </w:r>
      <w:r>
        <w:t xml:space="preserve"> </w:t>
      </w:r>
      <w:r>
        <w:t xml:space="preserve">the archived headers, so constancy can be neither confirmed nor refuted; absence alone</w:t>
      </w:r>
      <w:r>
        <w:t xml:space="preserve"> </w:t>
      </w:r>
      <w:r>
        <w:t xml:space="preserve">does not disqualify a series, since excluding on it would remove series for a property of</w:t>
      </w:r>
      <w:r>
        <w:t xml:space="preserve"> </w:t>
      </w:r>
      <w:r>
        <w:t xml:space="preserve">the de-identified export rather than of the acquisition.</w:t>
      </w:r>
      <w:r>
        <w:t xml:space="preserve"> </w:t>
      </w:r>
      <w:r>
        <w:rPr>
          <w:i/>
          <w:iCs/>
        </w:rPr>
        <w:t xml:space="preserve">Negligible variation</w:t>
      </w:r>
      <w:r>
        <w:t xml:space="preserve">: varying</w:t>
      </w:r>
      <w:r>
        <w:t xml:space="preserve"> </w:t>
      </w:r>
      <w:r>
        <w:t xml:space="preserve">by less than a relative tolerance of 0.02, attributable to the numeric representation —</w:t>
      </w:r>
      <w:r>
        <w:t xml:space="preserve"> </w:t>
      </w:r>
      <w:r>
        <w:t xml:space="preserve">exposure time is written as an integer number of milliseconds, so a one-unit step on a</w:t>
      </w:r>
      <w:r>
        <w:t xml:space="preserve"> </w:t>
      </w:r>
      <w:r>
        <w:t xml:space="preserve">value of a few hundred is a rounding artefact.</w:t>
      </w:r>
      <w:r>
        <w:t xml:space="preserve"> </w:t>
      </w:r>
      <w:r>
        <w:rPr>
          <w:i/>
          <w:iCs/>
        </w:rPr>
        <w:t xml:space="preserve">Materially variable</w:t>
      </w:r>
      <w:r>
        <w:t xml:space="preserve">: varying by at least</w:t>
      </w:r>
      <w:r>
        <w:t xml:space="preserve"> </w:t>
      </w:r>
      <w:r>
        <w:t xml:space="preserve">that tolerance, which disqualifies the series.</w:t>
      </w:r>
    </w:p>
    <w:p>
      <w:pPr>
        <w:pStyle w:val="BodyText"/>
      </w:pPr>
      <w:r>
        <w:t xml:space="preserve">The value of 2% follows from those two scales rather than from the data. Below it lies</w:t>
      </w:r>
      <w:r>
        <w:t xml:space="preserve"> </w:t>
      </w:r>
      <w:r>
        <w:t xml:space="preserve">the representation: at the 400–700 ms exposure times these acquisitions use, the integer</w:t>
      </w:r>
      <w:r>
        <w:t xml:space="preserve"> </w:t>
      </w:r>
      <w:r>
        <w:t xml:space="preserve">millisecond step alone moves a value by up to about 0.25%, and 2% sits an order of</w:t>
      </w:r>
      <w:r>
        <w:t xml:space="preserve"> </w:t>
      </w:r>
      <w:r>
        <w:t xml:space="preserve">magnitude above that. Above it lies the smallest change of technique that can actually</w:t>
      </w:r>
      <w:r>
        <w:t xml:space="preserve"> </w:t>
      </w:r>
      <w:r>
        <w:t xml:space="preserve">occur, since rotation time is switched in discrete steps and the smallest of those halves</w:t>
      </w:r>
      <w:r>
        <w:t xml:space="preserve"> </w:t>
      </w:r>
      <w:r>
        <w:t xml:space="preserve">or doubles it — a change of 100%. The threshold therefore separates two regimes that are</w:t>
      </w:r>
      <w:r>
        <w:t xml:space="preserve"> </w:t>
      </w:r>
      <w:r>
        <w:t xml:space="preserve">two orders of magnitude apart, and is not fitted to these data: any value between roughly</w:t>
      </w:r>
      <w:r>
        <w:t xml:space="preserve"> </w:t>
      </w:r>
      <w:r>
        <w:t xml:space="preserve">1% and 50% classifies this cohort identically, because the only material variation</w:t>
      </w:r>
      <w:r>
        <w:t xml:space="preserve"> </w:t>
      </w:r>
      <w:r>
        <w:t xml:space="preserve">observed is a factor of two.</w:t>
      </w:r>
    </w:p>
    <w:p>
      <w:pPr>
        <w:pStyle w:val="BodyText"/>
      </w:pPr>
      <w:r>
        <w:t xml:space="preserve">Tube voltage was verified constant in all 40 series, as were Image Type and convolution</w:t>
      </w:r>
      <w:r>
        <w:t xml:space="preserve"> </w:t>
      </w:r>
      <w:r>
        <w:t xml:space="preserve">kernel, so no series mixes acquisition or reconstruction types. Exposure time was verified</w:t>
      </w:r>
      <w:r>
        <w:t xml:space="preserve"> </w:t>
      </w:r>
      <w:r>
        <w:t xml:space="preserve">constant in 35 series, negligibly variable in 3, materially variable in 1 and absent in 1;</w:t>
      </w:r>
      <w:r>
        <w:t xml:space="preserve"> </w:t>
      </w:r>
      <w:r>
        <w:t xml:space="preserve">rotation time verified constant in 20, materially variable in 1 and absent in 19; pitch</w:t>
      </w:r>
      <w:r>
        <w:t xml:space="preserve"> </w:t>
      </w:r>
      <w:r>
        <w:t xml:space="preserve">verified constant in 32 and absent in 8; total collimation width verified constant in 31</w:t>
      </w:r>
      <w:r>
        <w:t xml:space="preserve"> </w:t>
      </w:r>
      <w:r>
        <w:t xml:space="preserve">and absent in 9. The full record is shipped as</w:t>
      </w:r>
      <w:r>
        <w:t xml:space="preserve"> </w:t>
      </w:r>
      <w:r>
        <w:rPr>
          <w:rStyle w:val="VerbatimChar"/>
        </w:rPr>
        <w:t xml:space="preserve">results/acquisition_constancy.json</w:t>
      </w:r>
      <w:r>
        <w:t xml:space="preserve"> </w:t>
      </w:r>
      <w:r>
        <w:t xml:space="preserve">and</w:t>
      </w:r>
      <w:r>
        <w:t xml:space="preserve"> </w:t>
      </w:r>
      <w:r>
        <w:t xml:space="preserve">the eligibility decision for every series in</w:t>
      </w:r>
      <w:r>
        <w:t xml:space="preserve"> </w:t>
      </w:r>
      <w:r>
        <w:rPr>
          <w:rStyle w:val="VerbatimChar"/>
        </w:rPr>
        <w:t xml:space="preserve">results/analysis_1.5mm.json</w:t>
      </w:r>
      <w:r>
        <w:t xml:space="preserve">.</w:t>
      </w:r>
    </w:p>
    <w:p>
      <w:pPr>
        <w:pStyle w:val="BodyText"/>
      </w:pPr>
      <w:r>
        <w:t xml:space="preserve">Series failing the criterion are retained for the archive-availability, segmentation,</w:t>
      </w:r>
      <w:r>
        <w:t xml:space="preserve"> </w:t>
      </w:r>
      <w:r>
        <w:t xml:space="preserve">estimated-mass and provenance analyses, and excluded only from quantitative</w:t>
      </w:r>
      <w:r>
        <w:t xml:space="preserve"> </w:t>
      </w:r>
      <w:r>
        <w:t xml:space="preserve">modulation-weight and anatomy-weighted-index summaries.</w:t>
      </w:r>
    </w:p>
    <w:p>
      <w:pPr>
        <w:pStyle w:val="BodyText"/>
      </w:pPr>
      <w:r>
        <w:t xml:space="preserve">CTDIvol was taken from the image header (0018,9345) where present. Where absent, it was</w:t>
      </w:r>
      <w:r>
        <w:t xml:space="preserve"> </w:t>
      </w:r>
      <w:r>
        <w:t xml:space="preserve">reconstructed from acquisition physics against an openly licensed normalised-CTDI database</w:t>
      </w:r>
      <w:r>
        <w:t xml:space="preserve"> </w:t>
      </w:r>
      <w:r>
        <w:t xml:space="preserve">[18]; recorded and reconstructed values are never merged, and each series records which it</w:t>
      </w:r>
      <w:r>
        <w:t xml:space="preserve"> </w:t>
      </w:r>
      <w:r>
        <w:t xml:space="preserve">carries. A recorded value outside the physically possible range is treated as a corrupt</w:t>
      </w:r>
      <w:r>
        <w:t xml:space="preserve"> </w:t>
      </w:r>
      <w:r>
        <w:t xml:space="preserve">attribute and falls through to reconstruction — one series records CTDIvol as</w:t>
      </w:r>
      <w:r>
        <w:t xml:space="preserve"> </w:t>
      </w:r>
      <w:r>
        <w:t xml:space="preserve">−3.7 × 10^19 mGy.</w:t>
      </w:r>
    </w:p>
    <w:p>
      <w:pPr>
        <w:pStyle w:val="BodyText"/>
      </w:pPr>
      <w:r>
        <w:t xml:space="preserve">An organ whose mask reaches the first or last slice of the series continues beyond the</w:t>
      </w:r>
      <w:r>
        <w:t xml:space="preserve"> </w:t>
      </w:r>
      <w:r>
        <w:t xml:space="preserve">scan; its estimated mass is that of the scanned part and its weight describes only the</w:t>
      </w:r>
      <w:r>
        <w:t xml:space="preserve"> </w:t>
      </w:r>
      <w:r>
        <w:t xml:space="preserve">exposed part. Such organs are flagged and excluded from whole-organ comparisons.</w:t>
      </w:r>
    </w:p>
    <w:bookmarkEnd w:id="23"/>
    <w:bookmarkStart w:id="24" w:name="organ-record-flow"/>
    <w:p>
      <w:pPr>
        <w:pStyle w:val="Heading3"/>
      </w:pPr>
      <w:r>
        <w:t xml:space="preserve">2.10. Organ Record Flow</w:t>
      </w:r>
    </w:p>
    <w:p>
      <w:pPr>
        <w:pStyle w:val="FirstParagraph"/>
      </w:pPr>
      <w:r>
        <w:t xml:space="preserve">Forty series and twelve requested organs give 480 organ–series combinations. Records were</w:t>
      </w:r>
      <w:r>
        <w:t xml:space="preserve"> </w:t>
      </w:r>
      <w:r>
        <w:t xml:space="preserve">produced for 455. The remaining 25 are organs that lay outside the scanned longitudinal</w:t>
      </w:r>
      <w:r>
        <w:t xml:space="preserve"> </w:t>
      </w:r>
      <w:r>
        <w:t xml:space="preserve">range, so their masks were empty and no record exists: urinary bladder in 10 series,</w:t>
      </w:r>
      <w:r>
        <w:t xml:space="preserve"> </w:t>
      </w:r>
      <w:r>
        <w:t xml:space="preserve">gallbladder in 8, and seven further organs in a single 41-slice pelvic acquisition that</w:t>
      </w:r>
      <w:r>
        <w:t xml:space="preserve"> </w:t>
      </w:r>
      <w:r>
        <w:t xml:space="preserve">does not reach the upper abdomen.</w:t>
      </w:r>
    </w:p>
    <w:p>
      <w:pPr>
        <w:pStyle w:val="BodyText"/>
      </w:pPr>
      <w:r>
        <w:t xml:space="preserve">Two further conditions apply to the 455 records, and they are</w:t>
      </w:r>
      <w:r>
        <w:t xml:space="preserve"> </w:t>
      </w:r>
      <w:r>
        <w:rPr>
          <w:b/>
          <w:bCs/>
        </w:rPr>
        <w:t xml:space="preserve">independent axes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nested subsets</w:t>
      </w:r>
      <w:r>
        <w:t xml:space="preserve">. Truncation is a property of the organ: 408 records are untruncated</w:t>
      </w:r>
      <w:r>
        <w:t xml:space="preserve"> </w:t>
      </w:r>
      <w:r>
        <w:t xml:space="preserve">and 47 reach a scan boundary. Index availability is a property of the series: before</w:t>
      </w:r>
      <w:r>
        <w:t xml:space="preserve"> </w:t>
      </w:r>
      <w:r>
        <w:t xml:space="preserve">application of the acquisition-constancy criterion, 386 records from 34 series had a</w:t>
      </w:r>
      <w:r>
        <w:t xml:space="preserve"> </w:t>
      </w:r>
      <w:r>
        <w:t xml:space="preserve">recorded or reconstructed CTDIvol and were computationally capable of carrying an index,</w:t>
      </w:r>
      <w:r>
        <w:t xml:space="preserve"> </w:t>
      </w:r>
      <w:r>
        <w:t xml:space="preserve">while the remaining 69 records, from 6 series, carry a modulation weight but no index</w:t>
      </w:r>
      <w:r>
        <w:t xml:space="preserve"> </w:t>
      </w:r>
      <w:r>
        <w:t xml:space="preserve">because those series have no CTDIvol by either route. The two conditions hold together for</w:t>
      </w:r>
      <w:r>
        <w:t xml:space="preserve"> </w:t>
      </w:r>
      <w:r>
        <w:t xml:space="preserve">345 records; 41 truncated records still carry an index, and 63 untruncated records do not.</w:t>
      </w:r>
    </w:p>
    <w:p>
      <w:pPr>
        <w:pStyle w:val="BodyText"/>
      </w:pPr>
      <w:r>
        <w:t xml:space="preserve">After exclusion of the one materially variable series, 375 records from 33 series were</w:t>
      </w:r>
      <w:r>
        <w:t xml:space="preserve"> </w:t>
      </w:r>
      <w:r>
        <w:t xml:space="preserve">eligible for the quantitative anatomy-weighted-index analysis; the 11 excluded records</w:t>
      </w:r>
      <w:r>
        <w:t xml:space="preserve"> </w:t>
      </w:r>
      <w:r>
        <w:t xml:space="preserve">belong to that series. The external reference-mass comparison, which does not depend on</w:t>
      </w:r>
      <w:r>
        <w:t xml:space="preserve"> </w:t>
      </w:r>
      <w:r>
        <w:t xml:space="preserve">the modulation weighting, uses the 177 untruncated records of the five solid organs across</w:t>
      </w:r>
      <w:r>
        <w:t xml:space="preserve"> </w:t>
      </w:r>
      <w:r>
        <w:t xml:space="preserve">the whole cohort. The full flow is in the shipped</w:t>
      </w:r>
      <w:r>
        <w:t xml:space="preserve"> </w:t>
      </w:r>
      <w:r>
        <w:rPr>
          <w:rStyle w:val="VerbatimChar"/>
        </w:rPr>
        <w:t xml:space="preserve">results/analysis_1.5mm.json</w:t>
      </w:r>
      <w:r>
        <w:t xml:space="preserve">.</w:t>
      </w:r>
    </w:p>
    <w:bookmarkEnd w:id="24"/>
    <w:bookmarkStart w:id="25" w:name="Xac99610bd1667e2236e31b4cc065aa132b167b5"/>
    <w:p>
      <w:pPr>
        <w:pStyle w:val="Heading3"/>
      </w:pPr>
      <w:r>
        <w:t xml:space="preserve">2.11. What the Index Does and Does Not Represent</w:t>
      </w:r>
    </w:p>
    <w:p>
      <w:pPr>
        <w:pStyle w:val="FirstParagraph"/>
      </w:pPr>
      <w:r>
        <w:t xml:space="preserve">The anatomy-weighted CTDIvol index describes organ-specific</w:t>
      </w:r>
      <w:r>
        <w:t xml:space="preserve"> </w:t>
      </w:r>
      <w:r>
        <w:rPr>
          <w:i/>
          <w:iCs/>
        </w:rPr>
        <w:t xml:space="preserve">longitudinal</w:t>
      </w:r>
      <w:r>
        <w:t xml:space="preserve"> </w:t>
      </w:r>
      <w:r>
        <w:t xml:space="preserve">tube-current</w:t>
      </w:r>
      <w:r>
        <w:t xml:space="preserve"> </w:t>
      </w:r>
      <w:r>
        <w:t xml:space="preserve">modulation relative to the whole-scan CTDIvol. It does not account for scattered</w:t>
      </w:r>
      <w:r>
        <w:t xml:space="preserve"> </w:t>
      </w:r>
      <w:r>
        <w:t xml:space="preserve">radiation; irradiation originating outside the organ’s segmented longitudinal extent;</w:t>
      </w:r>
      <w:r>
        <w:t xml:space="preserve"> </w:t>
      </w:r>
      <w:r>
        <w:t xml:space="preserve">angular (in-plane) tube-current modulation; organ depth, position or attenuation;</w:t>
      </w:r>
      <w:r>
        <w:t xml:space="preserve"> </w:t>
      </w:r>
      <w:r>
        <w:t xml:space="preserve">patient-specific Monte-Carlo radiation transport; or absorbed organ dose in milligray. It</w:t>
      </w:r>
      <w:r>
        <w:t xml:space="preserve"> </w:t>
      </w:r>
      <w:r>
        <w:t xml:space="preserve">is therefore not a surrogate for absorbed organ dose and must not be read as one. What it</w:t>
      </w:r>
      <w:r>
        <w:t xml:space="preserve"> </w:t>
      </w:r>
      <w:r>
        <w:t xml:space="preserve">does provide is a dimensionless, patient-specific, organ-specific measure of longitudinal</w:t>
      </w:r>
      <w:r>
        <w:t xml:space="preserve"> </w:t>
      </w:r>
      <w:r>
        <w:t xml:space="preserve">modulation, and a derived index in the units of the parent CTDIvol.</w:t>
      </w:r>
    </w:p>
    <w:bookmarkEnd w:id="25"/>
    <w:bookmarkStart w:id="26" w:name="verification-and-reproducibility"/>
    <w:p>
      <w:pPr>
        <w:pStyle w:val="Heading3"/>
      </w:pPr>
      <w:r>
        <w:t xml:space="preserve">2.12. Verification and Reproducibility</w:t>
      </w:r>
    </w:p>
    <w:p>
      <w:pPr>
        <w:pStyle w:val="FirstParagraph"/>
      </w:pPr>
      <w:r>
        <w:t xml:space="preserve">Every series is screened against facts of gross anatomy that hold for any adult: the left</w:t>
      </w:r>
      <w:r>
        <w:t xml:space="preserve"> </w:t>
      </w:r>
      <w:r>
        <w:t xml:space="preserve">kidney lies to the patient’s left of the right kidney and the spleen to the left of the</w:t>
      </w:r>
      <w:r>
        <w:t xml:space="preserve"> </w:t>
      </w:r>
      <w:r>
        <w:t xml:space="preserve">liver; the liver lies superior to the bladder and the adrenal glands superior to the</w:t>
      </w:r>
      <w:r>
        <w:t xml:space="preserve"> </w:t>
      </w:r>
      <w:r>
        <w:t xml:space="preserve">kidneys; solid-organ mass estimates fall within a wide band of reference values; and the</w:t>
      </w:r>
      <w:r>
        <w:t xml:space="preserve"> </w:t>
      </w:r>
      <w:r>
        <w:t xml:space="preserve">organ weights vary within a series. These screens exist because the failures they catch</w:t>
      </w:r>
      <w:r>
        <w:t xml:space="preserve"> </w:t>
      </w:r>
      <w:r>
        <w:t xml:space="preserve">leave no other trace.</w:t>
      </w:r>
    </w:p>
    <w:p>
      <w:pPr>
        <w:pStyle w:val="BodyText"/>
      </w:pPr>
      <w:r>
        <w:t xml:space="preserve">Analyses were run with Python 3.14 (the package supports 3.10 and later), TotalSegmentator</w:t>
      </w:r>
      <w:r>
        <w:t xml:space="preserve"> </w:t>
      </w:r>
      <w:r>
        <w:t xml:space="preserve">v2.17 (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task, 1.5 mm full-resolution model) on PyTorch 2.11 with CUDA 12.8, pydicom</w:t>
      </w:r>
      <w:r>
        <w:t xml:space="preserve"> </w:t>
      </w:r>
      <w:r>
        <w:t xml:space="preserve">3.0 and NumPy 2.5, using an NVIDIA RTX 3080. Every reported value is re-derived from the</w:t>
      </w:r>
      <w:r>
        <w:t xml:space="preserve"> </w:t>
      </w:r>
      <w:r>
        <w:t xml:space="preserve">per-series records by the test suite, including regenerating the complete analysis table</w:t>
      </w:r>
      <w:r>
        <w:t xml:space="preserve"> </w:t>
      </w:r>
      <w:r>
        <w:t xml:space="preserve">and comparing it. The pipeline is organised in four layers — acquisition, organ record,</w:t>
      </w:r>
      <w:r>
        <w:t xml:space="preserve"> </w:t>
      </w:r>
      <w:r>
        <w:t xml:space="preserve">analysis and figures — each regenerated by a single command and each writing a</w:t>
      </w:r>
      <w:r>
        <w:t xml:space="preserve"> </w:t>
      </w:r>
      <w:r>
        <w:t xml:space="preserve">machine-readable record that the next layer reads; the acquisition-parameter check of</w:t>
      </w:r>
      <w:r>
        <w:t xml:space="preserve"> </w:t>
      </w:r>
      <w:r>
        <w:t xml:space="preserve">Section 2.9 is a fifth, run over the completed records. Figure 1 gives the stages, the</w:t>
      </w:r>
      <w:r>
        <w:t xml:space="preserve"> </w:t>
      </w:r>
      <w:r>
        <w:t xml:space="preserve">count surviving each, and the verification step attached to each. The repository, its</w:t>
      </w:r>
      <w:r>
        <w:t xml:space="preserve"> </w:t>
      </w:r>
      <w:r>
        <w:t xml:space="preserve">release tag, commit hash and archived version DOI are given in the Data Availability</w:t>
      </w:r>
      <w:r>
        <w:t xml:space="preserve"> </w:t>
      </w:r>
      <w:r>
        <w:t xml:space="preserve">Statement, and the command for each layer is in its README rather than here.</w:t>
      </w:r>
    </w:p>
    <w:bookmarkEnd w:id="26"/>
    <w:bookmarkStart w:id="27" w:name="X662c2d66dd1eda3268d2087202c966cd73b2601"/>
    <w:p>
      <w:pPr>
        <w:pStyle w:val="Heading3"/>
      </w:pPr>
      <w:r>
        <w:t xml:space="preserve">2.13. Use of Generative Artificial Intelligence</w:t>
      </w:r>
    </w:p>
    <w:p>
      <w:pPr>
        <w:pStyle w:val="FirstParagraph"/>
      </w:pPr>
      <w:r>
        <w:t xml:space="preserve">A generative artificial intelligence assistant (Claude Opus 5, Anthropic) was used as a</w:t>
      </w:r>
      <w:r>
        <w:t xml:space="preserve"> </w:t>
      </w:r>
      <w:r>
        <w:t xml:space="preserve">tool in developing the software described in Sections 2.1 to 2.12 and in drafting and</w:t>
      </w:r>
      <w:r>
        <w:t xml:space="preserve"> </w:t>
      </w:r>
      <w:r>
        <w:t xml:space="preserve">editing the text of this manuscript. It was not used to generate, impute or select any</w:t>
      </w:r>
      <w:r>
        <w:t xml:space="preserve"> </w:t>
      </w:r>
      <w:r>
        <w:t xml:space="preserve">reported value. Every number in this article is produced by executable code in the cited</w:t>
      </w:r>
      <w:r>
        <w:t xml:space="preserve"> </w:t>
      </w:r>
      <w:r>
        <w:t xml:space="preserve">repository, is re-derived from the per-series records by the automated test suite</w:t>
      </w:r>
      <w:r>
        <w:t xml:space="preserve"> </w:t>
      </w:r>
      <w:r>
        <w:t xml:space="preserve">described above, and was verified by the author against the underlying records. The</w:t>
      </w:r>
      <w:r>
        <w:t xml:space="preserve"> </w:t>
      </w:r>
      <w:r>
        <w:t xml:space="preserve">study design, the eligibility rules, the quality-control criteria and all scientific</w:t>
      </w:r>
      <w:r>
        <w:t xml:space="preserve"> </w:t>
      </w:r>
      <w:r>
        <w:t xml:space="preserve">judgements, interpretations and conclusions are the author’s, who takes full</w:t>
      </w:r>
      <w:r>
        <w:t xml:space="preserve"> </w:t>
      </w:r>
      <w:r>
        <w:t xml:space="preserve">responsibility for the content of this article.</w:t>
      </w:r>
    </w:p>
    <w:bookmarkEnd w:id="27"/>
    <w:bookmarkEnd w:id="28"/>
    <w:bookmarkStart w:id="50" w:name="results"/>
    <w:p>
      <w:pPr>
        <w:pStyle w:val="Heading2"/>
      </w:pPr>
      <w:r>
        <w:t xml:space="preserve">3. Results</w:t>
      </w:r>
    </w:p>
    <w:bookmarkStart w:id="32" w:name="cohort-and-records"/>
    <w:p>
      <w:pPr>
        <w:pStyle w:val="Heading3"/>
      </w:pPr>
      <w:r>
        <w:t xml:space="preserve">3.1. Cohort and Records</w:t>
      </w:r>
    </w:p>
    <w:p>
      <w:pPr>
        <w:pStyle w:val="FirstParagraph"/>
      </w:pPr>
      <w:r>
        <w:t xml:space="preserve">Forty series were analysed — ten from each of GE, Siemens, Canon/Toshiba and Philips —</w:t>
      </w:r>
      <w:r>
        <w:t xml:space="preserve"> </w:t>
      </w:r>
      <w:r>
        <w:t xml:space="preserve">drawn from 21 collections and 23 scanner models. Of 480 organ–series combinations, 455</w:t>
      </w:r>
      <w:r>
        <w:t xml:space="preserve"> </w:t>
      </w:r>
      <w:r>
        <w:t xml:space="preserve">organ records were produced across 12 organs, with the flow as given in Section 2.10.</w:t>
      </w:r>
      <w:r>
        <w:t xml:space="preserve"> </w:t>
      </w:r>
      <w:r>
        <w:t xml:space="preserve">Figure 2 shows the segmentation output for a representative acquisition.</w:t>
      </w:r>
    </w:p>
    <w:p>
      <w:pPr>
        <w:pStyle w:val="BodyText"/>
      </w:pPr>
      <w:r>
        <w:t xml:space="preserve">Of the 40 segmented series, 39 met the acquisition-constancy criterion of Section 2.9. One</w:t>
      </w:r>
      <w:r>
        <w:t xml:space="preserve"> </w:t>
      </w:r>
      <w:r>
        <w:t xml:space="preserve">archived GE series contained two blocks with different exposure and rotation times; it was</w:t>
      </w:r>
      <w:r>
        <w:t xml:space="preserve"> </w:t>
      </w:r>
      <w:r>
        <w:t xml:space="preserve">retained for the segmentation, estimated-mass and archive-availability analyses and</w:t>
      </w:r>
      <w:r>
        <w:t xml:space="preserve"> </w:t>
      </w:r>
      <w:r>
        <w:t xml:space="preserve">excluded from the modulation-weight and anatomy-weighted-index summaries. The quantitative</w:t>
      </w:r>
      <w:r>
        <w:t xml:space="preserve"> </w:t>
      </w:r>
      <w:r>
        <w:t xml:space="preserve">modulation analysis therefore rests on 375 organ records from the 33 eligible series that</w:t>
      </w:r>
      <w:r>
        <w:t xml:space="preserve"> </w:t>
      </w:r>
      <w:r>
        <w:t xml:space="preserve">also carry a CTDIvol.</w:t>
      </w:r>
    </w:p>
    <w:p>
      <w:pPr>
        <w:pStyle w:val="BodyText"/>
      </w:pPr>
      <w:r>
        <w:drawing>
          <wp:inline>
            <wp:extent cx="4957010" cy="5784324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s/fig2_segmentat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010" cy="578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2.</w:t>
      </w:r>
      <w:r>
        <w:t xml:space="preserve"> </w:t>
      </w:r>
      <w:r>
        <w:t xml:space="preserve">Representative TotalSegmentator output from one abdominal CT series used in</w:t>
      </w:r>
      <w:r>
        <w:t xml:space="preserve"> </w:t>
      </w:r>
      <w:r>
        <w:t xml:space="preserve">the analysis. (</w:t>
      </w:r>
      <w:r>
        <w:rPr>
          <w:b/>
          <w:bCs/>
        </w:rPr>
        <w:t xml:space="preserve">a</w:t>
      </w:r>
      <w:r>
        <w:t xml:space="preserve">) Coronal reformat with multi-organ overlays. (</w:t>
      </w:r>
      <w:r>
        <w:rPr>
          <w:b/>
          <w:bCs/>
        </w:rPr>
        <w:t xml:space="preserve">b</w:t>
      </w:r>
      <w:r>
        <w:t xml:space="preserve">–</w:t>
      </w:r>
      <w:r>
        <w:rPr>
          <w:b/>
          <w:bCs/>
        </w:rPr>
        <w:t xml:space="preserve">d</w:t>
      </w:r>
      <w:r>
        <w:t xml:space="preserve">) Axial</w:t>
      </w:r>
      <w:r>
        <w:t xml:space="preserve"> </w:t>
      </w:r>
      <w:r>
        <w:t xml:space="preserve">levels through the upper abdomen, the renal level and the lower abdomen. Masks were</w:t>
      </w:r>
      <w:r>
        <w:t xml:space="preserve"> </w:t>
      </w:r>
      <w:r>
        <w:t xml:space="preserve">generated with TotalSegmentator v2.17 using the 1.5 mm full-resolution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and</w:t>
      </w:r>
      <w:r>
        <w:t xml:space="preserve"> </w:t>
      </w:r>
      <w:r>
        <w:t xml:space="preserve">returned to the native DICOM-derived image grid; overlays are translucent so the anatomy</w:t>
      </w:r>
      <w:r>
        <w:t xml:space="preserve"> </w:t>
      </w:r>
      <w:r>
        <w:t xml:space="preserve">they are drawn against remains visible, and the key lists the structures actually shown.</w:t>
      </w:r>
      <w:r>
        <w:t xml:space="preserve"> </w:t>
      </w:r>
      <w:r>
        <w:t xml:space="preserve">The same acquisition appears in Figure 3. Images are displayed in radiological convention,</w:t>
      </w:r>
      <w:r>
        <w:t xml:space="preserve"> </w:t>
      </w:r>
      <w:r>
        <w:t xml:space="preserve">with the patient’s left on the viewer’s right. Only de-identified imaging from The Cancer</w:t>
      </w:r>
      <w:r>
        <w:t xml:space="preserve"> </w:t>
      </w:r>
      <w:r>
        <w:t xml:space="preserve">Imaging Archive is shown.</w:t>
      </w:r>
    </w:p>
    <w:bookmarkEnd w:id="32"/>
    <w:bookmarkStart w:id="36" w:name="organ-specific-modulation-weights"/>
    <w:p>
      <w:pPr>
        <w:pStyle w:val="Heading3"/>
      </w:pPr>
      <w:r>
        <w:t xml:space="preserve">3.2. Organ-Specific Modulation Weights</w:t>
      </w:r>
    </w:p>
    <w:p>
      <w:pPr>
        <w:pStyle w:val="FirstParagraph"/>
      </w:pPr>
      <w:r>
        <w:t xml:space="preserve">Across the eligible series, organ-specific modulation weights span 0.59 to 1.69. The</w:t>
      </w:r>
      <w:r>
        <w:t xml:space="preserve"> </w:t>
      </w:r>
      <w:r>
        <w:t xml:space="preserve">anatomy-weighted index therefore departs from the whole-scan CTDIvol by up to roughly 70%</w:t>
      </w:r>
      <w:r>
        <w:t xml:space="preserve"> </w:t>
      </w:r>
      <w:r>
        <w:t xml:space="preserve">in either direction within a single acquisition, which is the variation the index exists</w:t>
      </w:r>
      <w:r>
        <w:t xml:space="preserve"> </w:t>
      </w:r>
      <w:r>
        <w:t xml:space="preserve">to express.</w:t>
      </w:r>
    </w:p>
    <w:p>
      <w:pPr>
        <w:pStyle w:val="BodyText"/>
      </w:pPr>
      <w:r>
        <w:t xml:space="preserve">Figure 3 shows one acquisition end to end: a Canon/Toshiba Aquilion PRIME series of 268</w:t>
      </w:r>
      <w:r>
        <w:t xml:space="preserve"> </w:t>
      </w:r>
      <w:r>
        <w:t xml:space="preserve">slices with a recorded CTDIvol of 16.1 mGy and a scan mean tube current of 265 mA. The</w:t>
      </w:r>
      <w:r>
        <w:t xml:space="preserve"> </w:t>
      </w:r>
      <w:r>
        <w:t xml:space="preserve">small bowel and colon, lying in the inferior abdomen where the modulation raised the</w:t>
      </w:r>
      <w:r>
        <w:t xml:space="preserve"> </w:t>
      </w:r>
      <w:r>
        <w:t xml:space="preserve">current to about 447 and 435 mA, take weights of 1.69 and 1.64 respectively, giving indices</w:t>
      </w:r>
      <w:r>
        <w:t xml:space="preserve"> </w:t>
      </w:r>
      <w:r>
        <w:t xml:space="preserve">near 27 mGy; the left kidney and stomach, higher in the scan, take weights of 0.94 and</w:t>
      </w:r>
      <w:r>
        <w:t xml:space="preserve"> </w:t>
      </w:r>
      <w:r>
        <w:t xml:space="preserve">indices near 15 mGy. Two organs in the same acquisition thus differ by a factor of 1.8 in</w:t>
      </w:r>
      <w:r>
        <w:t xml:space="preserve"> </w:t>
      </w:r>
      <w:r>
        <w:t xml:space="preserve">their anatomy-weighted index, a difference no whole-scan value can express.</w:t>
      </w:r>
    </w:p>
    <w:p>
      <w:pPr>
        <w:pStyle w:val="BodyText"/>
      </w:pPr>
      <w:r>
        <w:drawing>
          <wp:inline>
            <wp:extent cx="5334000" cy="465909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ures/fig3_demonstration_cas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9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One acquisition end to end. (</w:t>
      </w:r>
      <w:r>
        <w:rPr>
          <w:b/>
          <w:bCs/>
        </w:rPr>
        <w:t xml:space="preserve">a</w:t>
      </w:r>
      <w:r>
        <w:t xml:space="preserve">) Each organ’s longitudinal extent,</w:t>
      </w:r>
      <w:r>
        <w:t xml:space="preserve"> </w:t>
      </w:r>
      <w:r>
        <w:t xml:space="preserve">annotated with the mean tube current recorded over it, against a scan mean of 265 mA.</w:t>
      </w:r>
      <w:r>
        <w:t xml:space="preserve"> </w:t>
      </w:r>
      <w:r>
        <w:t xml:space="preserve">(</w:t>
      </w:r>
      <w:r>
        <w:rPr>
          <w:b/>
          <w:bCs/>
        </w:rPr>
        <w:t xml:space="preserve">b</w:t>
      </w:r>
      <w:r>
        <w:t xml:space="preserve">) The resulting anatomy-weighted CTDIvol index, with the organ-specific modulation</w:t>
      </w:r>
      <w:r>
        <w:t xml:space="preserve"> </w:t>
      </w:r>
      <w:r>
        <w:t xml:space="preserve">weight beside each bar; the dashed line is the whole-scan CTDIvol of 16.1 mGy. The bars</w:t>
      </w:r>
      <w:r>
        <w:t xml:space="preserve"> </w:t>
      </w:r>
      <w:r>
        <w:t xml:space="preserve">are modulation-weighted indices, not absorbed doses.</w:t>
      </w:r>
    </w:p>
    <w:bookmarkEnd w:id="36"/>
    <w:bookmarkStart w:id="40" w:name="X1e80acbb71a080ba11eed7c879b65fdaf9935e5"/>
    <w:p>
      <w:pPr>
        <w:pStyle w:val="Heading3"/>
      </w:pPr>
      <w:r>
        <w:t xml:space="preserve">3.3. Availability of a Dose Index in the Archived Headers</w:t>
      </w:r>
    </w:p>
    <w:p>
      <w:pPr>
        <w:pStyle w:val="FirstParagraph"/>
      </w:pPr>
      <w:r>
        <w:t xml:space="preserve">Across the cohort, 29 of 40 series retained a recorded CTDIvol in the archived DICOM</w:t>
      </w:r>
      <w:r>
        <w:t xml:space="preserve"> </w:t>
      </w:r>
      <w:r>
        <w:t xml:space="preserve">headers, 5 were reconstructable from acquisition physics, and 6 were neither (Figure 4).</w:t>
      </w:r>
    </w:p>
    <w:p>
      <w:pPr>
        <w:pStyle w:val="BodyText"/>
      </w:pPr>
      <w:r>
        <w:t xml:space="preserve">All 6 unrecoverable series are GE, and none of the ten sampled GE series retained a</w:t>
      </w:r>
      <w:r>
        <w:t xml:space="preserve"> </w:t>
      </w:r>
      <w:r>
        <w:t xml:space="preserve">recorded CTDIvol in the archived headers; the other three manufacturers retained one in 29</w:t>
      </w:r>
      <w:r>
        <w:t xml:space="preserve"> </w:t>
      </w:r>
      <w:r>
        <w:t xml:space="preserve">of 30. Retention of the attributes on which dose monitoring depends is itself a reported problem: monitoring built on the DICOM structured report is limited by what an installation writes and keeps [19], and compliance with dose-reporting requirements has been found incomplete even where they are mandated [20]. These counts are reported descriptively. No significance test is applied: series</w:t>
      </w:r>
      <w:r>
        <w:t xml:space="preserve"> </w:t>
      </w:r>
      <w:r>
        <w:t xml:space="preserve">drawn from a curated archive are not independent with respect to collection, contributing</w:t>
      </w:r>
      <w:r>
        <w:t xml:space="preserve"> </w:t>
      </w:r>
      <w:r>
        <w:t xml:space="preserve">site, scanner model, export pathway or de-identification, and a p-value computed over that</w:t>
      </w:r>
      <w:r>
        <w:t xml:space="preserve"> </w:t>
      </w:r>
      <w:r>
        <w:t xml:space="preserve">structure would describe a sampling model the data do not satisfy. For the six</w:t>
      </w:r>
      <w:r>
        <w:t xml:space="preserve"> </w:t>
      </w:r>
      <w:r>
        <w:t xml:space="preserve">unrecoverable series the organ masks, volumes, mass estimates and modulation weights are</w:t>
      </w:r>
      <w:r>
        <w:t xml:space="preserve"> </w:t>
      </w:r>
      <w:r>
        <w:t xml:space="preserve">all computable and reported, but no anatomy-weighted index exists for them.</w:t>
      </w:r>
    </w:p>
    <w:p>
      <w:pPr>
        <w:pStyle w:val="BodyText"/>
      </w:pPr>
      <w:r>
        <w:drawing>
          <wp:inline>
            <wp:extent cx="5334000" cy="289881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figures/fig4_dose_index_availability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Availability of a whole-scan dose index in the archived DICOM headers, by</w:t>
      </w:r>
      <w:r>
        <w:t xml:space="preserve"> </w:t>
      </w:r>
      <w:r>
        <w:t xml:space="preserve">manufacturer, in this TCIA sample. A series counted unrecoverable retained no CTDIvol in</w:t>
      </w:r>
      <w:r>
        <w:t xml:space="preserve"> </w:t>
      </w:r>
      <w:r>
        <w:t xml:space="preserve">its header and its scanner lies outside the open coefficient database. Segments are</w:t>
      </w:r>
      <w:r>
        <w:t xml:space="preserve"> </w:t>
      </w:r>
      <w:r>
        <w:t xml:space="preserve">distinguished by fill pattern as well as tone.</w:t>
      </w:r>
    </w:p>
    <w:bookmarkEnd w:id="40"/>
    <w:bookmarkStart w:id="41" w:name="Xd90e4020bed89f40d261fe1605a683ce49c20ad"/>
    <w:p>
      <w:pPr>
        <w:pStyle w:val="Heading3"/>
      </w:pPr>
      <w:r>
        <w:t xml:space="preserve">3.4. How Far the Reconstructed CTDIvol Agrees With a Recorded One</w:t>
      </w:r>
    </w:p>
    <w:p>
      <w:pPr>
        <w:pStyle w:val="FirstParagraph"/>
      </w:pPr>
      <w:r>
        <w:t xml:space="preserve">Where the header retains no CTDIvol, the value is rebuilt from acquisition physics and</w:t>
      </w:r>
      <w:r>
        <w:t xml:space="preserve"> </w:t>
      </w:r>
      <w:r>
        <w:t xml:space="preserve">an open coefficient table [13], and the two origins are kept apart in every record</w:t>
      </w:r>
      <w:r>
        <w:t xml:space="preserve"> </w:t>
      </w:r>
      <w:r>
        <w:t xml:space="preserve">because the uncertainty they carry differs. That difference has to be quantified rather</w:t>
      </w:r>
      <w:r>
        <w:t xml:space="preserve"> </w:t>
      </w:r>
      <w:r>
        <w:t xml:space="preserve">than asserted.</w:t>
      </w:r>
    </w:p>
    <w:p>
      <w:pPr>
        <w:pStyle w:val="BodyText"/>
      </w:pPr>
      <w:r>
        <w:t xml:space="preserve">It cannot be quantified in the way one would first attempt. No series in this cohort</w:t>
      </w:r>
      <w:r>
        <w:t xml:space="preserve"> </w:t>
      </w:r>
      <w:r>
        <w:t xml:space="preserve">carries both values: the reconstruction runs only where the header has none, so the</w:t>
      </w:r>
      <w:r>
        <w:t xml:space="preserve"> </w:t>
      </w:r>
      <w:r>
        <w:t xml:space="preserve">recorded and reconstructed populations are disjoint by construction. The comparison was</w:t>
      </w:r>
      <w:r>
        <w:t xml:space="preserve"> </w:t>
      </w:r>
      <w:r>
        <w:t xml:space="preserve">therefore made by forcing the reconstruction on the series that do carry a recorded</w:t>
      </w:r>
      <w:r>
        <w:t xml:space="preserve"> </w:t>
      </w:r>
      <w:r>
        <w:t xml:space="preserve">value, where the recorded value plays no part in producing the reconstructed one.</w:t>
      </w:r>
    </w:p>
    <w:p>
      <w:pPr>
        <w:pStyle w:val="BodyText"/>
      </w:pPr>
      <w:r>
        <w:t xml:space="preserve">Of the 29 series with a recorded CTDIvol, 8 could be reconstructed; the remainder are on</w:t>
      </w:r>
      <w:r>
        <w:t xml:space="preserve"> </w:t>
      </w:r>
      <w:r>
        <w:t xml:space="preserve">scanner models absent from the open table. Across those 8 the median absolute difference</w:t>
      </w:r>
      <w:r>
        <w:t xml:space="preserve"> </w:t>
      </w:r>
      <w:r>
        <w:t xml:space="preserve">is 10.5%, but the differences do not form a spread. Five agree to within 12% — two</w:t>
      </w:r>
      <w:r>
        <w:t xml:space="preserve"> </w:t>
      </w:r>
      <w:r>
        <w:t xml:space="preserve">Aquilion PRIME at −8.8%, one Aquilion ONE at −8.3%, two iCT 256 at a median −2.0% — and</w:t>
      </w:r>
      <w:r>
        <w:t xml:space="preserve"> </w:t>
      </w:r>
      <w:r>
        <w:t xml:space="preserve">three do not, two Aquilion Prime SP at a median +58.0% and one SOMATOM Definition Flash</w:t>
      </w:r>
      <w:r>
        <w:t xml:space="preserve"> </w:t>
      </w:r>
      <w:r>
        <w:t xml:space="preserve">at +84.0%. The disagreement is consistent within a scanner model rather than scattered</w:t>
      </w:r>
      <w:r>
        <w:t xml:space="preserve"> </w:t>
      </w:r>
      <w:r>
        <w:t xml:space="preserve">across series, which locates it in the tabulated coefficient for those models and not in</w:t>
      </w:r>
      <w:r>
        <w:t xml:space="preserve"> </w:t>
      </w:r>
      <w:r>
        <w:t xml:space="preserve">the per-series inputs; model resolution is exact after normalisation and rejects near</w:t>
      </w:r>
      <w:r>
        <w:t xml:space="preserve"> </w:t>
      </w:r>
      <w:r>
        <w:t xml:space="preserve">misses, and the spiral pitch, checked on all 8, is recorded in every case.</w:t>
      </w:r>
    </w:p>
    <w:p>
      <w:pPr>
        <w:pStyle w:val="BodyText"/>
      </w:pPr>
      <w:r>
        <w:t xml:space="preserve">The limitation of this measurement is more important than its result. A model can be</w:t>
      </w:r>
      <w:r>
        <w:t xml:space="preserve"> </w:t>
      </w:r>
      <w:r>
        <w:t xml:space="preserve">checked here only if some series in the cohort retained a recorded CTDIvol for it, and</w:t>
      </w:r>
      <w:r>
        <w:t xml:space="preserve"> </w:t>
      </w:r>
      <w:r>
        <w:t xml:space="preserve">no GE series retained one. Of the 5 series whose index rests on a reconstructed CTDIvol,</w:t>
      </w:r>
      <w:r>
        <w:t xml:space="preserve"> </w:t>
      </w:r>
      <w:r>
        <w:t xml:space="preserve">1 is a Philips iCT 256, a model measured above at a median −2.0%; the other 4 are GE, on</w:t>
      </w:r>
      <w:r>
        <w:t xml:space="preserve"> </w:t>
      </w:r>
      <w:r>
        <w:t xml:space="preserve">models the comparison cannot reach. The reconstruction is therefore unverified precisely where this study</w:t>
      </w:r>
      <w:r>
        <w:t xml:space="preserve"> </w:t>
      </w:r>
      <w:r>
        <w:t xml:space="preserve">leans on it hardest, and that is a property of what the archive kept rather than of the</w:t>
      </w:r>
      <w:r>
        <w:t xml:space="preserve"> </w:t>
      </w:r>
      <w:r>
        <w:t xml:space="preserve">method. Results resting on a reconstructed value are marked as such throughout.</w:t>
      </w:r>
    </w:p>
    <w:bookmarkEnd w:id="41"/>
    <w:bookmarkStart w:id="45" w:name="X70cbf5043a3c777e943a08818979130bc3ea1a7"/>
    <w:p>
      <w:pPr>
        <w:pStyle w:val="Heading3"/>
      </w:pPr>
      <w:r>
        <w:t xml:space="preserve">3.5. External Reference Comparison of Estimated Organ Mass</w:t>
      </w:r>
    </w:p>
    <w:p>
      <w:pPr>
        <w:pStyle w:val="FirstParagraph"/>
      </w:pPr>
      <w:r>
        <w:t xml:space="preserve">Table 1 and Figure 5 place attenuation-derived estimated organ mass beside the ICRP 89</w:t>
      </w:r>
      <w:r>
        <w:t xml:space="preserve"> </w:t>
      </w:r>
      <w:r>
        <w:t xml:space="preserve">reference adult male values [10], over the 177 untruncated records of the five solid</w:t>
      </w:r>
      <w:r>
        <w:t xml:space="preserve"> </w:t>
      </w:r>
      <w:r>
        <w:t xml:space="preserve">organs.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Attenuation-derived estimated organ mass beside ICRP 89 reference adult male</w:t>
      </w:r>
      <w:r>
        <w:t xml:space="preserve"> </w:t>
      </w:r>
      <w:r>
        <w:t xml:space="preserve">values, untruncated organs only. The reference is an external anchor, not a subject-level</w:t>
      </w:r>
      <w:r>
        <w:t xml:space="preserve"> </w:t>
      </w:r>
      <w:r>
        <w:t xml:space="preserve">ground truth.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organ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median estimated mass</w:t>
            </w:r>
          </w:p>
        </w:tc>
        <w:tc>
          <w:tcPr/>
          <w:p>
            <w:pPr>
              <w:pStyle w:val="Compact"/>
            </w:pPr>
            <w:r>
              <w:t xml:space="preserve">ratio to ICRP 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liver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1901 g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spleen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259 g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kidney (left)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179 g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kidney (right)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182 g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pancreas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86 g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</w:tr>
    </w:tbl>
    <w:p>
      <w:pPr>
        <w:pStyle w:val="BodyText"/>
      </w:pPr>
      <w:r>
        <w:t xml:space="preserve">Estimates for the liver were broadly consistent with the reference value, within 6%, and</w:t>
      </w:r>
      <w:r>
        <w:t xml:space="preserve"> </w:t>
      </w:r>
      <w:r>
        <w:t xml:space="preserve">the kidneys within 17%. Two organs departed more substantially: the pancreas estimate was</w:t>
      </w:r>
      <w:r>
        <w:t xml:space="preserve"> </w:t>
      </w:r>
      <w:r>
        <w:t xml:space="preserve">39% below the reference and the spleen 72% above. Neither was adjusted; possible</w:t>
      </w:r>
      <w:r>
        <w:t xml:space="preserve"> </w:t>
      </w:r>
      <w:r>
        <w:t xml:space="preserve">explanations are examined in Section 4.</w:t>
      </w:r>
    </w:p>
    <w:p>
      <w:pPr>
        <w:pStyle w:val="BodyText"/>
      </w:pPr>
      <w:r>
        <w:drawing>
          <wp:inline>
            <wp:extent cx="5147224" cy="294258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fig5_organ_mass_vs_icrp8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224" cy="294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5.</w:t>
      </w:r>
      <w:r>
        <w:t xml:space="preserve"> </w:t>
      </w:r>
      <w:r>
        <w:t xml:space="preserve">Attenuation-derived estimated organ mass relative to the ICRP 89 reference</w:t>
      </w:r>
      <w:r>
        <w:t xml:space="preserve"> </w:t>
      </w:r>
      <w:r>
        <w:t xml:space="preserve">adult male mass, by manufacturer. Each marker is one organ in one series; the horizontal</w:t>
      </w:r>
      <w:r>
        <w:t xml:space="preserve"> </w:t>
      </w:r>
      <w:r>
        <w:t xml:space="preserve">bar is the median across all manufacturers. Organs truncated by the scan boundary are</w:t>
      </w:r>
      <w:r>
        <w:t xml:space="preserve"> </w:t>
      </w:r>
      <w:r>
        <w:t xml:space="preserve">excluded. Manufacturer is encoded by marker shape as well as colour, so the figure is</w:t>
      </w:r>
      <w:r>
        <w:t xml:space="preserve"> </w:t>
      </w:r>
      <w:r>
        <w:t xml:space="preserve">readable in greyscale. The annotated point is the one mask the quality control of Section</w:t>
      </w:r>
      <w:r>
        <w:t xml:space="preserve"> </w:t>
      </w:r>
      <w:r>
        <w:t xml:space="preserve">2.6 flagged as a segmentation failure, retained here rather than removed.</w:t>
      </w:r>
    </w:p>
    <w:bookmarkEnd w:id="45"/>
    <w:bookmarkStart w:id="49" w:name="Xe502f279f709e96f2f22f37520e1c85ca7cf199"/>
    <w:p>
      <w:pPr>
        <w:pStyle w:val="Heading3"/>
      </w:pPr>
      <w:r>
        <w:t xml:space="preserve">3.6. What Limits an Organ-Level Modulation Analysis</w:t>
      </w:r>
    </w:p>
    <w:p>
      <w:pPr>
        <w:pStyle w:val="FirstParagraph"/>
      </w:pPr>
      <w:r>
        <w:t xml:space="preserve">Two conditions reduce what such an analysis can measure, and both differ across the</w:t>
      </w:r>
      <w:r>
        <w:t xml:space="preserve"> </w:t>
      </w:r>
      <w:r>
        <w:t xml:space="preserve">sampled manufacturers (Figure 6).</w:t>
      </w:r>
    </w:p>
    <w:p>
      <w:pPr>
        <w:pStyle w:val="BodyText"/>
      </w:pPr>
      <w:r>
        <w:t xml:space="preserve">Truncation by the scan boundary affected 5.2% of organ records on GE, 5.5% on Siemens,</w:t>
      </w:r>
      <w:r>
        <w:t xml:space="preserve"> </w:t>
      </w:r>
      <w:r>
        <w:t xml:space="preserve">10.4% on Canon/Toshiba and 20.0% on Philips, reflecting the scan ranges of the sampled</w:t>
      </w:r>
      <w:r>
        <w:t xml:space="preserve"> </w:t>
      </w:r>
      <w:r>
        <w:t xml:space="preserve">acquisitions rather than any property of the scanners. The organs most often cut are the</w:t>
      </w:r>
      <w:r>
        <w:t xml:space="preserve"> </w:t>
      </w:r>
      <w:r>
        <w:t xml:space="preserve">colon and small bowel.</w:t>
      </w:r>
    </w:p>
    <w:p>
      <w:pPr>
        <w:pStyle w:val="BodyText"/>
      </w:pPr>
      <w:r>
        <w:t xml:space="preserve">Three of the 39 series eligible for quantitative modulation analysis showed a</w:t>
      </w:r>
      <w:r>
        <w:t xml:space="preserve"> </w:t>
      </w:r>
      <w:r>
        <w:t xml:space="preserve">peak-to-peak spread of organ weights below 0.02: their tube</w:t>
      </w:r>
      <w:r>
        <w:t xml:space="preserve"> </w:t>
      </w:r>
      <w:r>
        <w:t xml:space="preserve">current does not vary across the abdominal organs, so the weighting has nothing to</w:t>
      </w:r>
      <w:r>
        <w:t xml:space="preserve"> </w:t>
      </w:r>
      <w:r>
        <w:t xml:space="preserve">express. These series passed the modulation screen at selection, where the current varies</w:t>
      </w:r>
      <w:r>
        <w:t xml:space="preserve"> </w:t>
      </w:r>
      <w:r>
        <w:t xml:space="preserve">across the whole scan; the flatness is local to the abdomen. They are uninformative for</w:t>
      </w:r>
      <w:r>
        <w:t xml:space="preserve"> </w:t>
      </w:r>
      <w:r>
        <w:t xml:space="preserve">this analysis rather than faulty.</w:t>
      </w:r>
    </w:p>
    <w:p>
      <w:pPr>
        <w:pStyle w:val="BodyText"/>
      </w:pPr>
      <w:r>
        <w:drawing>
          <wp:inline>
            <wp:extent cx="5296186" cy="2342147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ures/fig6_study_limit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186" cy="2342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Figure 6.</w:t>
      </w:r>
      <w:r>
        <w:t xml:space="preserve"> </w:t>
      </w:r>
      <w:r>
        <w:t xml:space="preserve">What limits an organ-level modulation analysis. (</w:t>
      </w:r>
      <w:r>
        <w:rPr>
          <w:b/>
          <w:bCs/>
        </w:rPr>
        <w:t xml:space="preserve">a</w:t>
      </w:r>
      <w:r>
        <w:t xml:space="preserve">) Percentage of organ</w:t>
      </w:r>
      <w:r>
        <w:t xml:space="preserve"> </w:t>
      </w:r>
      <w:r>
        <w:t xml:space="preserve">records truncated by the scan boundary, by manufacturer, annotated with the counts, over</w:t>
      </w:r>
      <w:r>
        <w:t xml:space="preserve"> </w:t>
      </w:r>
      <w:r>
        <w:t xml:space="preserve">all 40 segmented series. (</w:t>
      </w:r>
      <w:r>
        <w:rPr>
          <w:b/>
          <w:bCs/>
        </w:rPr>
        <w:t xml:space="preserve">b</w:t>
      </w:r>
      <w:r>
        <w:t xml:space="preserve">) Peak-to-peak spread of the organ-specific modulation</w:t>
      </w:r>
      <w:r>
        <w:t xml:space="preserve"> </w:t>
      </w:r>
      <w:r>
        <w:t xml:space="preserve">weights within each of the 39 series eligible for quantitative modulation analysis; the</w:t>
      </w:r>
      <w:r>
        <w:t xml:space="preserve"> </w:t>
      </w:r>
      <w:r>
        <w:t xml:space="preserve">dashed line is the threshold below which a series carries no usable variation.</w:t>
      </w:r>
    </w:p>
    <w:bookmarkEnd w:id="49"/>
    <w:bookmarkEnd w:id="50"/>
    <w:bookmarkStart w:id="51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rPr>
          <w:b/>
          <w:bCs/>
        </w:rPr>
        <w:t xml:space="preserve">Principal finding.</w:t>
      </w:r>
      <w:r>
        <w:t xml:space="preserve"> </w:t>
      </w:r>
      <w:r>
        <w:t xml:space="preserve">Organ-specific modulation weights span 0.59 to 1.69 across the</w:t>
      </w:r>
      <w:r>
        <w:t xml:space="preserve"> </w:t>
      </w:r>
      <w:r>
        <w:t xml:space="preserve">eligible cohort, and within a single acquisition two organs differed by a factor of 1.8 in their</w:t>
      </w:r>
      <w:r>
        <w:t xml:space="preserve"> </w:t>
      </w:r>
      <w:r>
        <w:t xml:space="preserve">anatomy-weighted index. Longitudinal modulation therefore produces organ-specific exposure</w:t>
      </w:r>
      <w:r>
        <w:t xml:space="preserve"> </w:t>
      </w:r>
      <w:r>
        <w:t xml:space="preserve">conditions that a single whole-scan CTDIvol cannot represent, and the magnitude is large</w:t>
      </w:r>
      <w:r>
        <w:t xml:space="preserve"> </w:t>
      </w:r>
      <w:r>
        <w:t xml:space="preserve">enough to matter for any organ-level analysis built on that value.</w:t>
      </w:r>
    </w:p>
    <w:p>
      <w:pPr>
        <w:pStyle w:val="BodyText"/>
      </w:pPr>
      <w:r>
        <w:t xml:space="preserve">The direction of that finding is the part likely to hold; the size of it is not. A weight</w:t>
      </w:r>
      <w:r>
        <w:t xml:space="preserve"> </w:t>
      </w:r>
      <w:r>
        <w:t xml:space="preserve">span is a property of the protocols, patient habitus and modulation settings that happen</w:t>
      </w:r>
      <w:r>
        <w:t xml:space="preserve"> </w:t>
      </w:r>
      <w:r>
        <w:t xml:space="preserve">to be present, and these 39 series were assembled from oncological collections by a</w:t>
      </w:r>
      <w:r>
        <w:t xml:space="preserve"> </w:t>
      </w:r>
      <w:r>
        <w:t xml:space="preserve">vendor-balanced quota rather than sampled from any clinical population. A cohort with</w:t>
      </w:r>
      <w:r>
        <w:t xml:space="preserve"> </w:t>
      </w:r>
      <w:r>
        <w:t xml:space="preserve">different body sizes, a different mix of examination types, or different modulation</w:t>
      </w:r>
      <w:r>
        <w:t xml:space="preserve"> </w:t>
      </w:r>
      <w:r>
        <w:t xml:space="preserve">strength would produce a different span. What the numbers here establish is that the</w:t>
      </w:r>
      <w:r>
        <w:t xml:space="preserve"> </w:t>
      </w:r>
      <w:r>
        <w:t xml:space="preserve">departure is not small and cannot be assumed away; they do not establish how large it is</w:t>
      </w:r>
      <w:r>
        <w:t xml:space="preserve"> </w:t>
      </w:r>
      <w:r>
        <w:t xml:space="preserve">in any particular clinic, and the same caution applies to the availability fractions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weight is a direct, dimensionless summary of how the recorded tube</w:t>
      </w:r>
      <w:r>
        <w:t xml:space="preserve"> </w:t>
      </w:r>
      <w:r>
        <w:t xml:space="preserve">current was distributed over an organ’s own longitudinal extent in that patient. It</w:t>
      </w:r>
      <w:r>
        <w:t xml:space="preserve"> </w:t>
      </w:r>
      <w:r>
        <w:t xml:space="preserve">requires no phantom, no simulation and no additional acquisition — only metadata the</w:t>
      </w:r>
      <w:r>
        <w:t xml:space="preserve"> </w:t>
      </w:r>
      <w:r>
        <w:t xml:space="preserve">scanner already writes and a segmentation obtained at inference.</w:t>
      </w:r>
    </w:p>
    <w:p>
      <w:pPr>
        <w:pStyle w:val="BodyText"/>
      </w:pPr>
      <w:r>
        <w:rPr>
          <w:b/>
          <w:bCs/>
        </w:rPr>
        <w:t xml:space="preserve">Relation to previous work.</w:t>
      </w:r>
      <w:r>
        <w:t xml:space="preserve"> </w:t>
      </w:r>
      <w:r>
        <w:t xml:space="preserve">The quantity is that of Khatonabadi et al. [3] and Tian et</w:t>
      </w:r>
      <w:r>
        <w:t xml:space="preserve"> </w:t>
      </w:r>
      <w:r>
        <w:t xml:space="preserve">al. [4], who established the organ-specific weighted CTDIvol and validated it against</w:t>
      </w:r>
      <w:r>
        <w:t xml:space="preserve"> </w:t>
      </w:r>
      <w:r>
        <w:t xml:space="preserve">Monte-Carlo organ dose; this study did not invent it, and adds nothing to those</w:t>
      </w:r>
      <w:r>
        <w:t xml:space="preserve"> </w:t>
      </w:r>
      <w:r>
        <w:t xml:space="preserve">validations. What differs is the setting. That line of work, and the modulation dosimetry</w:t>
      </w:r>
      <w:r>
        <w:t xml:space="preserve"> </w:t>
      </w:r>
      <w:r>
        <w:t xml:space="preserve">around it, proceeded from single-institution cohorts with one or two scanner models and</w:t>
      </w:r>
      <w:r>
        <w:t xml:space="preserve"> </w:t>
      </w:r>
      <w:r>
        <w:t xml:space="preserve">manual or semi-automatic contours, drawing in part on raw projection data or</w:t>
      </w:r>
      <w:r>
        <w:t xml:space="preserve"> </w:t>
      </w:r>
      <w:r>
        <w:t xml:space="preserve">vendor-supplied modulation profiles that archived DICOM does not retain. Here the same</w:t>
      </w:r>
      <w:r>
        <w:t xml:space="preserve"> </w:t>
      </w:r>
      <w:r>
        <w:t xml:space="preserve">quantity is obtained from archived headers alone, across four manufacturers and 23 scanner</w:t>
      </w:r>
      <w:r>
        <w:t xml:space="preserve"> </w:t>
      </w:r>
      <w:r>
        <w:t xml:space="preserve">models, with contours produced automatically.</w:t>
      </w:r>
    </w:p>
    <w:p>
      <w:pPr>
        <w:pStyle w:val="BodyText"/>
      </w:pPr>
      <w:r>
        <w:t xml:space="preserve">Three recent studies sit closest and differ in endpoint rather than in quality. Li et al.</w:t>
      </w:r>
      <w:r>
        <w:t xml:space="preserve"> </w:t>
      </w:r>
      <w:r>
        <w:t xml:space="preserve">[5] characterise SSDE(z), a patient-size-adjusted dose index evaluated at each</w:t>
      </w:r>
      <w:r>
        <w:t xml:space="preserve"> </w:t>
      </w:r>
      <w:r>
        <w:t xml:space="preserve">longitudinal position; that is related but not the same quantity, since the weighting here</w:t>
      </w:r>
      <w:r>
        <w:t xml:space="preserve"> </w:t>
      </w:r>
      <w:r>
        <w:t xml:space="preserve">is by segmented organ occupancy of the tube-current profile rather than by patient size at</w:t>
      </w:r>
      <w:r>
        <w:t xml:space="preserve"> </w:t>
      </w:r>
      <w:r>
        <w:t xml:space="preserve">a given position. Nuntue et al. [6] also derive modulation profiles from DICOM headers,</w:t>
      </w:r>
      <w:r>
        <w:t xml:space="preserve"> </w:t>
      </w:r>
      <w:r>
        <w:t xml:space="preserve">and go further than this work in estimating absorbed organ dose with Monte-Carlo</w:t>
      </w:r>
      <w:r>
        <w:t xml:space="preserve"> </w:t>
      </w:r>
      <w:r>
        <w:t xml:space="preserve">simulation and measurement validation; this study deliberately stops short of absorbed</w:t>
      </w:r>
      <w:r>
        <w:t xml:space="preserve"> </w:t>
      </w:r>
      <w:r>
        <w:t xml:space="preserve">dose and addresses instead archive feasibility, multi-vendor availability, quality control</w:t>
      </w:r>
      <w:r>
        <w:t xml:space="preserve"> </w:t>
      </w:r>
      <w:r>
        <w:t xml:space="preserve">and an open implementation. Eom et al. [7] likewise use TotalSegmentator for automated</w:t>
      </w:r>
      <w:r>
        <w:t xml:space="preserve"> </w:t>
      </w:r>
      <w:r>
        <w:t xml:space="preserve">dose calculation, but their endpoint is effective dose from body regions and DLP</w:t>
      </w:r>
      <w:r>
        <w:t xml:space="preserve"> </w:t>
      </w:r>
      <w:r>
        <w:t xml:space="preserve">conversion factors, whereas the present work uses individual organ masks, the per-slice</w:t>
      </w:r>
      <w:r>
        <w:t xml:space="preserve"> </w:t>
      </w:r>
      <w:r>
        <w:t xml:space="preserve">tube current and an organ-specific longitudinal weighting.</w:t>
      </w:r>
    </w:p>
    <w:p>
      <w:pPr>
        <w:pStyle w:val="BodyText"/>
      </w:pPr>
      <w:r>
        <w:t xml:space="preserve">The contribution is therefore not a new dose index or an improvement on the published</w:t>
      </w:r>
      <w:r>
        <w:t xml:space="preserve"> </w:t>
      </w:r>
      <w:r>
        <w:t xml:space="preserve">Monte-Carlo validations. It is an open, multi-vendor operationalisation and empirical</w:t>
      </w:r>
      <w:r>
        <w:t xml:space="preserve"> </w:t>
      </w:r>
      <w:r>
        <w:t xml:space="preserve">characterisation of the organ-weighting layer under the constraints of real archived</w:t>
      </w:r>
      <w:r>
        <w:t xml:space="preserve"> </w:t>
      </w:r>
      <w:r>
        <w:t xml:space="preserve">DICOM.</w:t>
      </w:r>
    </w:p>
    <w:p>
      <w:pPr>
        <w:pStyle w:val="BodyText"/>
      </w:pPr>
      <w:r>
        <w:rPr>
          <w:b/>
          <w:bCs/>
        </w:rPr>
        <w:t xml:space="preserve">What the index is, and what it is not.</w:t>
      </w:r>
      <w:r>
        <w:t xml:space="preserve"> </w:t>
      </w:r>
      <w:r>
        <w:t xml:space="preserve">As set out in Section 2.11, the index addresses</w:t>
      </w:r>
      <w:r>
        <w:t xml:space="preserve"> </w:t>
      </w:r>
      <w:r>
        <w:t xml:space="preserve">longitudinal modulation alone. It does not account for scatter, for irradiation</w:t>
      </w:r>
      <w:r>
        <w:t xml:space="preserve"> </w:t>
      </w:r>
      <w:r>
        <w:t xml:space="preserve">originating outside the organ’s segmented extent, for angular modulation, for organ depth</w:t>
      </w:r>
      <w:r>
        <w:t xml:space="preserve"> </w:t>
      </w:r>
      <w:r>
        <w:t xml:space="preserve">and attenuation, or for radiation transport, and it is not an estimate of absorbed organ</w:t>
      </w:r>
      <w:r>
        <w:t xml:space="preserve"> </w:t>
      </w:r>
      <w:r>
        <w:t xml:space="preserve">dose in milligray. Its value lies in isolating one well-defined contribution — the</w:t>
      </w:r>
      <w:r>
        <w:t xml:space="preserve"> </w:t>
      </w:r>
      <w:r>
        <w:t xml:space="preserve">longitudinal one — and reporting it patient-specifically and reproducibly.</w:t>
      </w:r>
    </w:p>
    <w:p>
      <w:pPr>
        <w:pStyle w:val="BodyText"/>
      </w:pPr>
      <w:r>
        <w:rPr>
          <w:b/>
          <w:bCs/>
        </w:rPr>
        <w:t xml:space="preserve">External reference comparison of estimated mass.</w:t>
      </w:r>
      <w:r>
        <w:t xml:space="preserve"> </w:t>
      </w:r>
      <w:r>
        <w:t xml:space="preserve">Liver and kidney estimates were</w:t>
      </w:r>
      <w:r>
        <w:t xml:space="preserve"> </w:t>
      </w:r>
      <w:r>
        <w:t xml:space="preserve">broadly consistent with ICRP 89 reference values, which is the expected behaviour if the</w:t>
      </w:r>
      <w:r>
        <w:t xml:space="preserve"> </w:t>
      </w:r>
      <w:r>
        <w:t xml:space="preserve">segmentation and the density model are working. The pancreas estimate sits 39% below the</w:t>
      </w:r>
      <w:r>
        <w:t xml:space="preserve"> </w:t>
      </w:r>
      <w:r>
        <w:t xml:space="preserve">reference. The pancreas is the weakest of these organs in TotalSegmentator’s own</w:t>
      </w:r>
      <w:r>
        <w:t xml:space="preserve"> </w:t>
      </w:r>
      <w:r>
        <w:t xml:space="preserve">validation (Dice 0.887, against 0.965 for the liver, 0.983 for the spleen and 0.953 and</w:t>
      </w:r>
      <w:r>
        <w:t xml:space="preserve"> </w:t>
      </w:r>
      <w:r>
        <w:t xml:space="preserve">0.939 for the kidneys [8]), which supports reduced boundary agreement; but Dice is</w:t>
      </w:r>
      <w:r>
        <w:t xml:space="preserve"> </w:t>
      </w:r>
      <w:r>
        <w:t xml:space="preserve">symmetric and does not establish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of a disagreement, so it does not by</w:t>
      </w:r>
      <w:r>
        <w:t xml:space="preserve"> </w:t>
      </w:r>
      <w:r>
        <w:t xml:space="preserve">itself demonstrate under-segmentation. Contrast phase, reconstruction kernel and genuine</w:t>
      </w:r>
      <w:r>
        <w:t xml:space="preserve"> </w:t>
      </w:r>
      <w:r>
        <w:t xml:space="preserve">anatomical variation in this cohort are alternative contributors that the present design</w:t>
      </w:r>
      <w:r>
        <w:t xml:space="preserve"> </w:t>
      </w:r>
      <w:r>
        <w:t xml:space="preserve">cannot separate. The source of the discrepancy cannot be determined without subject-level</w:t>
      </w:r>
      <w:r>
        <w:t xml:space="preserve"> </w:t>
      </w:r>
      <w:r>
        <w:t xml:space="preserve">reference contours or clinical ground truth.</w:t>
      </w:r>
    </w:p>
    <w:p>
      <w:pPr>
        <w:pStyle w:val="BodyText"/>
      </w:pPr>
      <w:r>
        <w:t xml:space="preserve">The spleen estimate sits 72% above the reference. The four largest cases — 4.47, 3.74,</w:t>
      </w:r>
      <w:r>
        <w:t xml:space="preserve"> </w:t>
      </w:r>
      <w:r>
        <w:t xml:space="preserve">3.34 and 3.06 times the reference value — were reviewed slice by slice against their own</w:t>
      </w:r>
      <w:r>
        <w:t xml:space="preserve"> </w:t>
      </w:r>
      <w:r>
        <w:t xml:space="preserve">images: each contour follows the splenic boundary with correct laterality, tracks the notch</w:t>
      </w:r>
      <w:r>
        <w:t xml:space="preserve"> </w:t>
      </w:r>
      <w:r>
        <w:t xml:space="preserve">at the hilum, shows no leakage into liver, kidney or stomach, and forms a single connected</w:t>
      </w:r>
      <w:r>
        <w:t xml:space="preserve"> </w:t>
      </w:r>
      <w:r>
        <w:t xml:space="preserve">component, so no accessory spleen was included. Their mean densities, 1.052 to 1.078</w:t>
      </w:r>
      <w:r>
        <w:t xml:space="preserve"> </w:t>
      </w:r>
      <w:r>
        <w:t xml:space="preserve">g/cm³, are unremarkable for splenic tissue, so the elevation arises from segmented volume</w:t>
      </w:r>
      <w:r>
        <w:t xml:space="preserve"> </w:t>
      </w:r>
      <w:r>
        <w:t xml:space="preserve">rather than from the density model; and the spleen is the best-segmented of these organs</w:t>
      </w:r>
      <w:r>
        <w:t xml:space="preserve"> </w:t>
      </w:r>
      <w:r>
        <w:t xml:space="preserve">in the segmenter’s validation. The cases arise on four different manufacturers. The cohort</w:t>
      </w:r>
      <w:r>
        <w:t xml:space="preserve"> </w:t>
      </w:r>
      <w:r>
        <w:t xml:space="preserve">is oncological — renal cell, colorectal and adrenal carcinoma — in which splenomegaly is</w:t>
      </w:r>
      <w:r>
        <w:t xml:space="preserve"> </w:t>
      </w:r>
      <w:r>
        <w:t xml:space="preserve">common, and the ICRP reference adult is not that population. The observed elevation was</w:t>
      </w:r>
      <w:r>
        <w:t xml:space="preserve"> </w:t>
      </w:r>
      <w:r>
        <w:t xml:space="preserve">most consistent with cohort anatomy among the explanations examined, although</w:t>
      </w:r>
      <w:r>
        <w:t xml:space="preserve"> </w:t>
      </w:r>
      <w:r>
        <w:t xml:space="preserve">subject-level pathological confirmation was unavailable.</w:t>
      </w:r>
    </w:p>
    <w:p>
      <w:pPr>
        <w:pStyle w:val="BodyText"/>
      </w:pPr>
      <w:r>
        <w:rPr>
          <w:b/>
          <w:bCs/>
        </w:rPr>
        <w:t xml:space="preserve">Availability in archived headers, and its confounders.</w:t>
      </w:r>
      <w:r>
        <w:t xml:space="preserve"> </w:t>
      </w:r>
      <w:r>
        <w:t xml:space="preserve">In this sample, availability of</w:t>
      </w:r>
      <w:r>
        <w:t xml:space="preserve"> </w:t>
      </w:r>
      <w:r>
        <w:t xml:space="preserve">a recorded CTDIvol differed markedly with manufacturer. This is an observation about</w:t>
      </w:r>
      <w:r>
        <w:t xml:space="preserve"> </w:t>
      </w:r>
      <w:r>
        <w:t xml:space="preserve">archived DICOM headers in one curated archive, not a statement about scanner</w:t>
      </w:r>
      <w:r>
        <w:t xml:space="preserve"> </w:t>
      </w:r>
      <w:r>
        <w:t xml:space="preserve">implementations. The present design cannot distinguish between scanner implementation,</w:t>
      </w:r>
      <w:r>
        <w:t xml:space="preserve"> </w:t>
      </w:r>
      <w:r>
        <w:t xml:space="preserve">scanner generation, acquisition site, DICOM export pathway, PACS processing,</w:t>
      </w:r>
      <w:r>
        <w:t xml:space="preserve"> </w:t>
      </w:r>
      <w:r>
        <w:t xml:space="preserve">de-identification, archive curation and collection composition as the origin of a missing</w:t>
      </w:r>
      <w:r>
        <w:t xml:space="preserve"> </w:t>
      </w:r>
      <w:r>
        <w:t xml:space="preserve">attribute; several of these are confounded with manufacturer through collection</w:t>
      </w:r>
      <w:r>
        <w:t xml:space="preserve"> </w:t>
      </w:r>
      <w:r>
        <w:t xml:space="preserve">membership. The practical consequence stands regardless of cause: a retrospective</w:t>
      </w:r>
      <w:r>
        <w:t xml:space="preserve"> </w:t>
      </w:r>
      <w:r>
        <w:t xml:space="preserve">organ-level analysis drawn from an archive will lose a manufacturer-associated fraction of</w:t>
      </w:r>
      <w:r>
        <w:t xml:space="preserve"> </w:t>
      </w:r>
      <w:r>
        <w:t xml:space="preserve">its cohort before segmentation is considered, and a study that does not report which</w:t>
      </w:r>
      <w:r>
        <w:t xml:space="preserve"> </w:t>
      </w:r>
      <w:r>
        <w:t xml:space="preserve">series were lost will under-represent that manufacturer silently.</w:t>
      </w:r>
    </w:p>
    <w:p>
      <w:pPr>
        <w:pStyle w:val="BodyText"/>
      </w:pPr>
      <w:r>
        <w:rPr>
          <w:b/>
          <w:bCs/>
        </w:rPr>
        <w:t xml:space="preserve">What the reconstructed values do to the index, and what they do not.</w:t>
      </w:r>
      <w:r>
        <w:t xml:space="preserve"> </w:t>
      </w:r>
      <w:r>
        <w:t xml:space="preserve">Section 3.4</w:t>
      </w:r>
      <w:r>
        <w:t xml:space="preserve"> </w:t>
      </w:r>
      <w:r>
        <w:t xml:space="preserve">measures how far a reconstructed CTDIvol departs from a recorded one; the question that</w:t>
      </w:r>
      <w:r>
        <w:t xml:space="preserve"> </w:t>
      </w:r>
      <w:r>
        <w:t xml:space="preserve">follows is what such a departure does to the index built on it, and the two halves of the</w:t>
      </w:r>
      <w:r>
        <w:t xml:space="preserve"> </w:t>
      </w:r>
      <w:r>
        <w:t xml:space="preserve">answer are of different kinds. The first is structural. The modulation weight is a ratio of</w:t>
      </w:r>
      <w:r>
        <w:t xml:space="preserve"> </w:t>
      </w:r>
      <w:r>
        <w:t xml:space="preserve">tube currents, as defined in Section 2.8, and CTDIvol does not enter it; the index is that</w:t>
      </w:r>
      <w:r>
        <w:t xml:space="preserve"> </w:t>
      </w:r>
      <w:r>
        <w:t xml:space="preserve">weight multiplied by CTDIvol. An error in CTDIvol therefore appears in the index at 1:1</w:t>
      </w:r>
      <w:r>
        <w:t xml:space="preserve"> </w:t>
      </w:r>
      <w:r>
        <w:t xml:space="preserve">and cannot reach the weight at all, so the modulation results of Section 3.2 are</w:t>
      </w:r>
      <w:r>
        <w:t xml:space="preserve"> </w:t>
      </w:r>
      <w:r>
        <w:t xml:space="preserve">independent of it by construction rather than by measurement. The second half is</w:t>
      </w:r>
      <w:r>
        <w:t xml:space="preserve"> </w:t>
      </w:r>
      <w:r>
        <w:t xml:space="preserve">empirical, and concerns how much of the cohort is exposed. Of the 33 series carrying an</w:t>
      </w:r>
      <w:r>
        <w:t xml:space="preserve"> </w:t>
      </w:r>
      <w:r>
        <w:t xml:space="preserve">index, 4 rest on a reconstructed CTDIvol, covering 44 of 334 organ records. Recomputing</w:t>
      </w:r>
      <w:r>
        <w:t xml:space="preserve"> </w:t>
      </w:r>
      <w:r>
        <w:t xml:space="preserve">every table over the series with a recorded value alone moves the per-organ median</w:t>
      </w:r>
      <w:r>
        <w:t xml:space="preserve"> </w:t>
      </w:r>
      <w:r>
        <w:t xml:space="preserve">modulation weight by at most 0.048 and the per-organ median anatomy-weighted CTDIvol by at</w:t>
      </w:r>
      <w:r>
        <w:t xml:space="preserve"> </w:t>
      </w:r>
      <w:r>
        <w:t xml:space="preserve">most 1.11 mGy. The conclusions of this study do not depend on those 4 series — but the</w:t>
      </w:r>
      <w:r>
        <w:t xml:space="preserve"> </w:t>
      </w:r>
      <w:r>
        <w:t xml:space="preserve">reason for saying so is not that they can be discarded. Removing them removes GE from the</w:t>
      </w:r>
      <w:r>
        <w:t xml:space="preserve"> </w:t>
      </w:r>
      <w:r>
        <w:t xml:space="preserve">weighted tables entirely, from 3 series to none, because no GE series in this cohort</w:t>
      </w:r>
      <w:r>
        <w:t xml:space="preserve"> </w:t>
      </w:r>
      <w:r>
        <w:t xml:space="preserve">retained a recorded CTDIvol at all. The multi-vendor reach of the modulation results rests</w:t>
      </w:r>
      <w:r>
        <w:t xml:space="preserve"> </w:t>
      </w:r>
      <w:r>
        <w:t xml:space="preserve">on values whose accuracy Section 3.4 could not check, and that is the honest statement of</w:t>
      </w:r>
      <w:r>
        <w:t xml:space="preserve"> </w:t>
      </w:r>
      <w:r>
        <w:t xml:space="preserve">where this study is weakest.</w:t>
      </w:r>
    </w:p>
    <w:p>
      <w:pPr>
        <w:pStyle w:val="BodyText"/>
      </w:pPr>
      <w:r>
        <w:rPr>
          <w:b/>
          <w:bCs/>
        </w:rPr>
        <w:t xml:space="preserve">Why acquisition constancy has to be screened.</w:t>
      </w:r>
      <w:r>
        <w:t xml:space="preserve"> </w:t>
      </w:r>
      <w:r>
        <w:t xml:space="preserve">The acquisition-constancy criterion</w:t>
      </w:r>
      <w:r>
        <w:t xml:space="preserve"> </w:t>
      </w:r>
      <w:r>
        <w:t xml:space="preserve">identified one series in which tube current alone was not proportional to scanner output,</w:t>
      </w:r>
      <w:r>
        <w:t xml:space="preserve"> </w:t>
      </w:r>
      <w:r>
        <w:t xml:space="preserve">because the acquisition changed rotation and exposure time part-way through. Excluding it</w:t>
      </w:r>
      <w:r>
        <w:t xml:space="preserve"> </w:t>
      </w:r>
      <w:r>
        <w:t xml:space="preserve">prevents a mixed acquisition from entering the quantitative modulation analysis, and</w:t>
      </w:r>
      <w:r>
        <w:t xml:space="preserve"> </w:t>
      </w:r>
      <w:r>
        <w:t xml:space="preserve">illustrates why constancy must be verified rather than assumed: nothing in the images, the</w:t>
      </w:r>
      <w:r>
        <w:t xml:space="preserve"> </w:t>
      </w:r>
      <w:r>
        <w:t xml:space="preserve">segmentation or the weights themselves would have revealed it. A current–time product</w:t>
      </w:r>
      <w:r>
        <w:t xml:space="preserve"> </w:t>
      </w:r>
      <w:r>
        <w:t xml:space="preserve">would be the more faithful weighting in general; it is not adopted here because exposure</w:t>
      </w:r>
      <w:r>
        <w:t xml:space="preserve"> </w:t>
      </w:r>
      <w:r>
        <w:t xml:space="preserve">time is absent from the archived headers of one other series and could not be applied</w:t>
      </w:r>
      <w:r>
        <w:t xml:space="preserve"> </w:t>
      </w:r>
      <w:r>
        <w:t xml:space="preserve">uniformly across the cohort.</w:t>
      </w:r>
    </w:p>
    <w:p>
      <w:pPr>
        <w:pStyle w:val="BodyText"/>
      </w:pPr>
      <w:r>
        <w:rPr>
          <w:b/>
          <w:bCs/>
        </w:rPr>
        <w:t xml:space="preserve">Reproducibility and open implementation.</w:t>
      </w:r>
      <w:r>
        <w:t xml:space="preserve"> </w:t>
      </w:r>
      <w:r>
        <w:t xml:space="preserve">The implementation is MIT-licensed, no</w:t>
      </w:r>
      <w:r>
        <w:t xml:space="preserve"> </w:t>
      </w:r>
      <w:r>
        <w:t xml:space="preserve">imaging is redistributed, and every reported value is re-derived from the per-series</w:t>
      </w:r>
      <w:r>
        <w:t xml:space="preserve"> </w:t>
      </w:r>
      <w:r>
        <w:t xml:space="preserve">records by an automated test suite that regenerates the analysis tables and compares them.</w:t>
      </w:r>
      <w:r>
        <w:t xml:space="preserve"> </w:t>
      </w:r>
      <w:r>
        <w:t xml:space="preserve">The acquisition procedure, the analysis and the figures are each a single command. The</w:t>
      </w:r>
      <w:r>
        <w:t xml:space="preserve"> </w:t>
      </w:r>
      <w:r>
        <w:t xml:space="preserve">components differ in status and are not claimed as uniformly open: the imaging is publicly</w:t>
      </w:r>
      <w:r>
        <w:t xml:space="preserve"> </w:t>
      </w:r>
      <w:r>
        <w:t xml:space="preserve">accessible under collection-specific licences; the segmentation software and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weights are openly redistributable; the normalised-CTDI database is CC BY; the</w:t>
      </w:r>
      <w:r>
        <w:t xml:space="preserve"> </w:t>
      </w:r>
      <w:r>
        <w:t xml:space="preserve">HU-to-density anchor values are used by citation to ICRU Report 44 [16] and Schneider et</w:t>
      </w:r>
      <w:r>
        <w:t xml:space="preserve"> </w:t>
      </w:r>
      <w:r>
        <w:t xml:space="preserve">al. [17] rather than redistributed; and no Monte-Carlo coefficient table is included at all.</w:t>
      </w:r>
    </w:p>
    <w:p>
      <w:pPr>
        <w:pStyle w:val="BodyText"/>
      </w:pPr>
      <w:r>
        <w:rPr>
          <w:b/>
          <w:bCs/>
        </w:rPr>
        <w:t xml:space="preserve">The boundary to absorbed organ dose.</w:t>
      </w:r>
      <w:r>
        <w:t xml:space="preserve"> </w:t>
      </w:r>
      <w:r>
        <w:t xml:space="preserve">Converting an anatomy-weighted index into an</w:t>
      </w:r>
      <w:r>
        <w:t xml:space="preserve"> </w:t>
      </w:r>
      <w:r>
        <w:t xml:space="preserve">absorbed organ dose requires CTDIvol-normalised coefficients with a patient-size</w:t>
      </w:r>
      <w:r>
        <w:t xml:space="preserve"> </w:t>
      </w:r>
      <w:r>
        <w:t xml:space="preserve">correction, of the kind applied over patient model libraries by Tian et al. [4], together</w:t>
      </w:r>
      <w:r>
        <w:t xml:space="preserve"> </w:t>
      </w:r>
      <w:r>
        <w:t xml:space="preserve">with the transport considerations listed in</w:t>
      </w:r>
      <w:r>
        <w:t xml:space="preserve"> </w:t>
      </w:r>
      <w:r>
        <w:t xml:space="preserve">Section 2.11. Those coefficient sets are published in subscription journals or distributed</w:t>
      </w:r>
      <w:r>
        <w:t xml:space="preserve"> </w:t>
      </w:r>
      <w:r>
        <w:t xml:space="preserve">with research software under terms granting use but not redistribution, which reflects a</w:t>
      </w:r>
      <w:r>
        <w:t xml:space="preserve"> </w:t>
      </w:r>
      <w:r>
        <w:t xml:space="preserve">publishing convention for Monte-Carlo reference data rather than any deficiency in the</w:t>
      </w:r>
      <w:r>
        <w:t xml:space="preserve"> </w:t>
      </w:r>
      <w:r>
        <w:t xml:space="preserve">coefficients themselves. Normalised-CTDI data of the kind used here to reconstruct a</w:t>
      </w:r>
      <w:r>
        <w:t xml:space="preserve"> </w:t>
      </w:r>
      <w:r>
        <w:t xml:space="preserve">missing whole-scan index has been published under CC BY [18], which shows the convention is</w:t>
      </w:r>
      <w:r>
        <w:t xml:space="preserve"> </w:t>
      </w:r>
      <w:r>
        <w:t xml:space="preserve">movable. The software accordingly refuses to emit a dose in milligray unless supplied with</w:t>
      </w:r>
      <w:r>
        <w:t xml:space="preserve"> </w:t>
      </w:r>
      <w:r>
        <w:t xml:space="preserve">a coefficient table carrying its citation, DOI, licence and source hash.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Ten series per manufacturer supports a median and an interquartile range,</w:t>
      </w:r>
      <w:r>
        <w:t xml:space="preserve"> </w:t>
      </w:r>
      <w:r>
        <w:t xml:space="preserve">not a distributional claim, and series within the archive are not independent with respect</w:t>
      </w:r>
      <w:r>
        <w:t xml:space="preserve"> </w:t>
      </w:r>
      <w:r>
        <w:t xml:space="preserve">to collection, site, scanner model or export pathway. The design is balanced by</w:t>
      </w:r>
      <w:r>
        <w:t xml:space="preserve"> </w:t>
      </w:r>
      <w:r>
        <w:t xml:space="preserve">manufacturer and not by scanner model, and the two are not interchangeable: those ten</w:t>
      </w:r>
      <w:r>
        <w:t xml:space="preserve"> </w:t>
      </w:r>
      <w:r>
        <w:t xml:space="preserve">series per manufacturer are spread over 9 distinct GE models, 6 Siemens, 4 Canon/Toshiba</w:t>
      </w:r>
      <w:r>
        <w:t xml:space="preserve"> </w:t>
      </w:r>
      <w:r>
        <w:t xml:space="preserve">and 4 Philips, so most individual models are represented by one to three series. Anything</w:t>
      </w:r>
      <w:r>
        <w:t xml:space="preserve"> </w:t>
      </w:r>
      <w:r>
        <w:t xml:space="preserve">stated here about a manufacturer is therefore a statement about a small, model-diverse</w:t>
      </w:r>
      <w:r>
        <w:t xml:space="preserve"> </w:t>
      </w:r>
      <w:r>
        <w:t xml:space="preserve">sample of that manufacturer’s installed base, and nothing in this study supports a claim</w:t>
      </w:r>
      <w:r>
        <w:t xml:space="preserve"> </w:t>
      </w:r>
      <w:r>
        <w:t xml:space="preserve">at the level of a particular scanner model. The cohort is oncological and not a</w:t>
      </w:r>
      <w:r>
        <w:t xml:space="preserve"> </w:t>
      </w:r>
      <w:r>
        <w:t xml:space="preserve">reference population. Contrast phase, tube voltage and reconstruction kernel were not</w:t>
      </w:r>
      <w:r>
        <w:t xml:space="preserve"> </w:t>
      </w:r>
      <w:r>
        <w:t xml:space="preserve">controlled, and all affect attenuation-derived mass estimates. A single segmentation model</w:t>
      </w:r>
      <w:r>
        <w:t xml:space="preserve"> </w:t>
      </w:r>
      <w:r>
        <w:t xml:space="preserve">was used, so segmentation behaviour and cohort anatomy cannot be separated. There is no</w:t>
      </w:r>
      <w:r>
        <w:t xml:space="preserve"> </w:t>
      </w:r>
      <w:r>
        <w:t xml:space="preserve">subject-level ground truth for organ mass. Rotation time, pitch and collimation are absent</w:t>
      </w:r>
      <w:r>
        <w:t xml:space="preserve"> </w:t>
      </w:r>
      <w:r>
        <w:t xml:space="preserve">from the archived headers of some series (19, 8 and 9 respectively), so their constancy</w:t>
      </w:r>
      <w:r>
        <w:t xml:space="preserve"> </w:t>
      </w:r>
      <w:r>
        <w:t xml:space="preserve">within those series could not be fully verified and is assumed from the single-acquisition</w:t>
      </w:r>
      <w:r>
        <w:t xml:space="preserve"> </w:t>
      </w:r>
      <w:r>
        <w:t xml:space="preserve">representation; the acquisition-constancy criterion is therefore a screen against</w:t>
      </w:r>
      <w:r>
        <w:t xml:space="preserve"> </w:t>
      </w:r>
      <w:r>
        <w:t xml:space="preserve">detectable violations rather than a guarantee. The index addresses longitudinal modulation</w:t>
      </w:r>
      <w:r>
        <w:t xml:space="preserve"> </w:t>
      </w:r>
      <w:r>
        <w:t xml:space="preserve">only, as set out in Section 2.11, and no absorbed dose is reported.</w:t>
      </w:r>
    </w:p>
    <w:p>
      <w:pPr>
        <w:pStyle w:val="BodyText"/>
      </w:pPr>
      <w:r>
        <w:rPr>
          <w:b/>
          <w:bCs/>
        </w:rPr>
        <w:t xml:space="preserve">Future work.</w:t>
      </w:r>
      <w:r>
        <w:t xml:space="preserve"> </w:t>
      </w:r>
      <w:r>
        <w:t xml:space="preserve">Coefficients computed with an open-source Monte-Carlo engine would carry</w:t>
      </w:r>
      <w:r>
        <w:t xml:space="preserve"> </w:t>
      </w:r>
      <w:r>
        <w:t xml:space="preserve">no licensing constraint and would permit the transport terms this index omits; an</w:t>
      </w:r>
      <w:r>
        <w:t xml:space="preserve"> </w:t>
      </w:r>
      <w:r>
        <w:t xml:space="preserve">independent segmentation model on the same series would separate segmentation behaviour</w:t>
      </w:r>
      <w:r>
        <w:t xml:space="preserve"> </w:t>
      </w:r>
      <w:r>
        <w:t xml:space="preserve">from cohort anatomy for the pancreas and spleen; and a larger archive cohort would allow</w:t>
      </w:r>
      <w:r>
        <w:t xml:space="preserve"> </w:t>
      </w:r>
      <w:r>
        <w:t xml:space="preserve">the availability observation to be examined with collection and site modelled explicitly</w:t>
      </w:r>
      <w:r>
        <w:t xml:space="preserve"> </w:t>
      </w:r>
      <w:r>
        <w:t xml:space="preserve">rather than confounded.</w:t>
      </w:r>
    </w:p>
    <w:bookmarkEnd w:id="51"/>
    <w:bookmarkStart w:id="52" w:name="conclusions"/>
    <w:p>
      <w:pPr>
        <w:pStyle w:val="Heading2"/>
      </w:pPr>
      <w:r>
        <w:t xml:space="preserve">5. Conclusions</w:t>
      </w:r>
    </w:p>
    <w:p>
      <w:pPr>
        <w:pStyle w:val="FirstParagraph"/>
      </w:pPr>
      <w:r>
        <w:t xml:space="preserve">This study did not compute absorbed organ dose, and did not propose a new index. It took</w:t>
      </w:r>
      <w:r>
        <w:t xml:space="preserve"> </w:t>
      </w:r>
      <w:r>
        <w:t xml:space="preserve">an organ-specific weighted CTDIvol already reported in the literature and established what</w:t>
      </w:r>
      <w:r>
        <w:t xml:space="preserve"> </w:t>
      </w:r>
      <w:r>
        <w:t xml:space="preserve">it yields when operationalised openly across manufacturers, from metadata a scanner</w:t>
      </w:r>
      <w:r>
        <w:t xml:space="preserve"> </w:t>
      </w:r>
      <w:r>
        <w:t xml:space="preserve">already records and organ masks obtained at inference.</w:t>
      </w:r>
      <w:r>
        <w:t xml:space="preserve"> </w:t>
      </w:r>
      <w:r>
        <w:t xml:space="preserve">Organ-specific modulation weights spanned 0.59 to 1.69, and two organs within one</w:t>
      </w:r>
      <w:r>
        <w:t xml:space="preserve"> </w:t>
      </w:r>
      <w:r>
        <w:t xml:space="preserve">acquisition differed by a factor of 1.8 in their index, so the variation a single</w:t>
      </w:r>
      <w:r>
        <w:t xml:space="preserve"> </w:t>
      </w:r>
      <w:r>
        <w:t xml:space="preserve">whole-scan value conceals is substantial. The approach ran across four manufacturers using</w:t>
      </w:r>
      <w:r>
        <w:t xml:space="preserve"> </w:t>
      </w:r>
      <w:r>
        <w:t xml:space="preserve">publicly accessible imaging data and openly redistributable software components, and in</w:t>
      </w:r>
      <w:r>
        <w:t xml:space="preserve"> </w:t>
      </w:r>
      <w:r>
        <w:t xml:space="preserve">this archive cohort the availability of the whole-scan CTDIvol the index scales varied</w:t>
      </w:r>
      <w:r>
        <w:t xml:space="preserve"> </w:t>
      </w:r>
      <w:r>
        <w:t xml:space="preserve">markedly between manufacturers, which constrains any retrospective analysis of this kind.</w:t>
      </w:r>
      <w:r>
        <w:t xml:space="preserve"> </w:t>
      </w:r>
      <w:r>
        <w:t xml:space="preserve">The index is a step before conversion to absorbed organ dose, not a substitute for it:</w:t>
      </w:r>
      <w:r>
        <w:t xml:space="preserve"> </w:t>
      </w:r>
      <w:r>
        <w:t xml:space="preserve">that conversion requires Monte-Carlo coefficients and the transport terms this index</w:t>
      </w:r>
      <w:r>
        <w:t xml:space="preserve"> </w:t>
      </w:r>
      <w:r>
        <w:t xml:space="preserve">omits. The implementation and derived records are openly available, provenance-aware and</w:t>
      </w:r>
      <w:r>
        <w:t xml:space="preserve"> </w:t>
      </w:r>
      <w:r>
        <w:t xml:space="preserve">reproducible from the shipped results.</w:t>
      </w:r>
    </w:p>
    <w:bookmarkEnd w:id="52"/>
    <w:bookmarkStart w:id="53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S.Y.: conceptualisation, methodology, software, validation, formal analysis,</w:t>
      </w:r>
      <w:r>
        <w:t xml:space="preserve"> </w:t>
      </w:r>
      <w:r>
        <w:t xml:space="preserve">investigation, data curation, writing — original draft, writing — review and editing,</w:t>
      </w:r>
      <w:r>
        <w:t xml:space="preserve"> </w:t>
      </w:r>
      <w:r>
        <w:t xml:space="preserve">visualisation. The author has read and agreed to the published version of the manuscript.</w:t>
      </w:r>
    </w:p>
    <w:bookmarkEnd w:id="53"/>
    <w:bookmarkStart w:id="54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54"/>
    <w:bookmarkStart w:id="55" w:name="institutional-review-board-statement"/>
    <w:p>
      <w:pPr>
        <w:pStyle w:val="Heading2"/>
      </w:pPr>
      <w:r>
        <w:t xml:space="preserve">Institutional Review Board Statement</w:t>
      </w:r>
    </w:p>
    <w:p>
      <w:pPr>
        <w:pStyle w:val="FirstParagraph"/>
      </w:pPr>
      <w:r>
        <w:t xml:space="preserve">Not applicable. This study analyzed only publicly available, fully de-identified human</w:t>
      </w:r>
      <w:r>
        <w:t xml:space="preserve"> </w:t>
      </w:r>
      <w:r>
        <w:t xml:space="preserve">imaging data obtained from The Cancer Imaging Archive (TCIA) under Creative Commons</w:t>
      </w:r>
      <w:r>
        <w:t xml:space="preserve"> </w:t>
      </w:r>
      <w:r>
        <w:t xml:space="preserve">Attribution (CC BY) licenses. Because the data are publicly available and not individually</w:t>
      </w:r>
      <w:r>
        <w:t xml:space="preserve"> </w:t>
      </w:r>
      <w:r>
        <w:t xml:space="preserve">identifiable, the work does not constitute human-subjects research under the U.S. Common</w:t>
      </w:r>
      <w:r>
        <w:t xml:space="preserve"> </w:t>
      </w:r>
      <w:r>
        <w:t xml:space="preserve">Rule (45 CFR 46.102(e)); TCIA distributes these collections after HIPAA-compliant</w:t>
      </w:r>
      <w:r>
        <w:t xml:space="preserve"> </w:t>
      </w:r>
      <w:r>
        <w:t xml:space="preserve">de-identification. No new data were collected from human participants and no protected</w:t>
      </w:r>
      <w:r>
        <w:t xml:space="preserve"> </w:t>
      </w:r>
      <w:r>
        <w:t xml:space="preserve">health information was accessed. Institutional review board approval and informed consent</w:t>
      </w:r>
      <w:r>
        <w:t xml:space="preserve"> </w:t>
      </w:r>
      <w:r>
        <w:t xml:space="preserve">were therefore not required.</w:t>
      </w:r>
    </w:p>
    <w:bookmarkEnd w:id="55"/>
    <w:bookmarkStart w:id="56" w:name="informed-consent-statement"/>
    <w:p>
      <w:pPr>
        <w:pStyle w:val="Heading2"/>
      </w:pPr>
      <w:r>
        <w:t xml:space="preserve">Informed Consent Statement</w:t>
      </w:r>
    </w:p>
    <w:p>
      <w:pPr>
        <w:pStyle w:val="FirstParagraph"/>
      </w:pPr>
      <w:r>
        <w:t xml:space="preserve">Not applicable. This study used only publicly available, de-identified imaging from The</w:t>
      </w:r>
      <w:r>
        <w:t xml:space="preserve"> </w:t>
      </w:r>
      <w:r>
        <w:t xml:space="preserve">Cancer Imaging Archive.</w:t>
      </w:r>
    </w:p>
    <w:bookmarkEnd w:id="56"/>
    <w:bookmarkStart w:id="57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software supporting this study,</w:t>
      </w:r>
      <w:r>
        <w:t xml:space="preserve"> </w:t>
      </w:r>
      <w:r>
        <w:rPr>
          <w:rStyle w:val="VerbatimChar"/>
        </w:rPr>
        <w:t xml:space="preserve">ctsegdose-core</w:t>
      </w:r>
      <w:r>
        <w:t xml:space="preserve">, is openly available under the MIT</w:t>
      </w:r>
      <w:r>
        <w:t xml:space="preserve"> </w:t>
      </w:r>
      <w:r>
        <w:t xml:space="preserve">licence at https://github.com/Institute-of-One/ctsegdose-core, release</w:t>
      </w:r>
      <w:r>
        <w:t xml:space="preserve"> </w:t>
      </w:r>
      <w:r>
        <w:t xml:space="preserve">v0.1.1 (commit 46edee6423ddc19b47efae180d8edf527299d066), archived at Zenodo under</w:t>
      </w:r>
      <w:r>
        <w:t xml:space="preserve"> </w:t>
      </w:r>
      <w:r>
        <w:t xml:space="preserve">10.5281/zenodo.21817307. The machine-readable results the manuscript quotes, the per-organ</w:t>
      </w:r>
      <w:r>
        <w:t xml:space="preserve"> </w:t>
      </w:r>
      <w:r>
        <w:t xml:space="preserve">records, the analysis tables, the acquisition-parameter check and the figure scripts are</w:t>
      </w:r>
      <w:r>
        <w:t xml:space="preserve"> </w:t>
      </w:r>
      <w:r>
        <w:t xml:space="preserve">included in that repository, together with the mask-review overlays underlying Section 4.</w:t>
      </w:r>
    </w:p>
    <w:p>
      <w:pPr>
        <w:pStyle w:val="BodyText"/>
      </w:pPr>
      <w:r>
        <w:t xml:space="preserve">No DICOM imaging is redistributed. Every series analysed is identified in</w:t>
      </w:r>
      <w:r>
        <w:t xml:space="preserve"> </w:t>
      </w:r>
      <w:r>
        <w:rPr>
          <w:rStyle w:val="VerbatimChar"/>
        </w:rPr>
        <w:t xml:space="preserve">data/PROVENANCE.json</w:t>
      </w:r>
      <w:r>
        <w:t xml:space="preserve"> </w:t>
      </w:r>
      <w:r>
        <w:t xml:space="preserve">by collection, collection DOI, Series Instance UID, manufacturer,</w:t>
      </w:r>
      <w:r>
        <w:t xml:space="preserve"> </w:t>
      </w:r>
      <w:r>
        <w:t xml:space="preserve">model, licence and retrieval date, and is retrievable directly from The Cancer Imaging</w:t>
      </w:r>
      <w:r>
        <w:t xml:space="preserve"> </w:t>
      </w:r>
      <w:r>
        <w:t xml:space="preserve">Archive by following</w:t>
      </w:r>
      <w:r>
        <w:t xml:space="preserve"> </w:t>
      </w:r>
      <w:r>
        <w:rPr>
          <w:rStyle w:val="VerbatimChar"/>
        </w:rPr>
        <w:t xml:space="preserve">docs/REPRODUCING_DATA.md</w:t>
      </w:r>
      <w:r>
        <w:t xml:space="preserve">. The forty series were retrieved under</w:t>
      </w:r>
      <w:r>
        <w:t xml:space="preserve"> </w:t>
      </w:r>
      <w:r>
        <w:t xml:space="preserve">Creative Commons Attribution licences (33 under CC BY 4.0, 7 under CC BY 3.0) as recorded</w:t>
      </w:r>
      <w:r>
        <w:t xml:space="preserve"> </w:t>
      </w:r>
      <w:r>
        <w:t xml:space="preserve">per series; the licence terms of each originating collection and the TCIA Data Usage</w:t>
      </w:r>
      <w:r>
        <w:t xml:space="preserve"> </w:t>
      </w:r>
      <w:r>
        <w:t xml:space="preserve">Policy apply.</w:t>
      </w:r>
    </w:p>
    <w:p>
      <w:pPr>
        <w:pStyle w:val="BodyText"/>
      </w:pPr>
      <w:r>
        <w:t xml:space="preserve">Segmentation used TotalSegmentator [8]. Its software code is distributed under the Apache</w:t>
      </w:r>
      <w:r>
        <w:t xml:space="preserve"> </w:t>
      </w:r>
      <w:r>
        <w:t xml:space="preserve">2.0 licence, and the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task model weights used here are likewise stated by the</w:t>
      </w:r>
      <w:r>
        <w:t xml:space="preserve"> </w:t>
      </w:r>
      <w:r>
        <w:t xml:space="preserve">project to be openly available under Apache 2.0; other tasks in that project require a</w:t>
      </w:r>
      <w:r>
        <w:t xml:space="preserve"> </w:t>
      </w:r>
      <w:r>
        <w:t xml:space="preserve">separate licence and were not used. No model weights are redistributed with this work.</w:t>
      </w:r>
    </w:p>
    <w:p>
      <w:pPr>
        <w:pStyle w:val="BodyText"/>
      </w:pPr>
      <w:r>
        <w:t xml:space="preserve">No organ-dose coefficient table is redistributed, for the licensing reasons set out in</w:t>
      </w:r>
      <w:r>
        <w:t xml:space="preserve"> </w:t>
      </w:r>
      <w:r>
        <w:t xml:space="preserve">Section 4.</w:t>
      </w:r>
    </w:p>
    <w:bookmarkEnd w:id="57"/>
    <w:bookmarkStart w:id="58" w:name="conflicts-of-interest"/>
    <w:p>
      <w:pPr>
        <w:pStyle w:val="Heading2"/>
      </w:pPr>
      <w:r>
        <w:t xml:space="preserve">Conflicts of Interest</w:t>
      </w:r>
    </w:p>
    <w:p>
      <w:pPr>
        <w:pStyle w:val="FirstParagraph"/>
      </w:pPr>
      <w:r>
        <w:t xml:space="preserve">The author is the representative of LISIT Co., Ltd. (Tokyo, Japan) and Chief Executive</w:t>
      </w:r>
      <w:r>
        <w:t xml:space="preserve"> </w:t>
      </w:r>
      <w:r>
        <w:t xml:space="preserve">Officer of TexelCraft OÜ (Estonia), and has a commercial interest in downstream products</w:t>
      </w:r>
      <w:r>
        <w:t xml:space="preserve"> </w:t>
      </w:r>
      <w:r>
        <w:t xml:space="preserve">that may incorporate or build upon the methods described here. The software reported in</w:t>
      </w:r>
      <w:r>
        <w:t xml:space="preserve"> </w:t>
      </w:r>
      <w:r>
        <w:t xml:space="preserve">this article is released under the MIT licence. No patient data, customer data or</w:t>
      </w:r>
      <w:r>
        <w:t xml:space="preserve"> </w:t>
      </w:r>
      <w:r>
        <w:t xml:space="preserve">proprietary clinical data were used; all imaging is publicly available and de-identified.</w:t>
      </w:r>
    </w:p>
    <w:bookmarkEnd w:id="58"/>
    <w:bookmarkStart w:id="59" w:name="X403f50173cc9f6c2dda70a807554c26161ce17d"/>
    <w:p>
      <w:pPr>
        <w:pStyle w:val="Heading2"/>
      </w:pPr>
      <w:r>
        <w:t xml:space="preserve">Use of Generative Artificial Intelligence</w:t>
      </w:r>
    </w:p>
    <w:p>
      <w:pPr>
        <w:pStyle w:val="FirstParagraph"/>
      </w:pPr>
      <w:r>
        <w:t xml:space="preserve">A generative artificial intelligence assistant (Claude Opus 5, Anthropic) was used as a</w:t>
      </w:r>
      <w:r>
        <w:t xml:space="preserve"> </w:t>
      </w:r>
      <w:r>
        <w:t xml:space="preserve">tool in the development of the software and in drafting and editing the text of this</w:t>
      </w:r>
      <w:r>
        <w:t xml:space="preserve"> </w:t>
      </w:r>
      <w:r>
        <w:t xml:space="preserve">manuscript. All reported results are produced by executable code contained in the cited</w:t>
      </w:r>
      <w:r>
        <w:t xml:space="preserve"> </w:t>
      </w:r>
      <w:r>
        <w:t xml:space="preserve">repository, are re-derived from the underlying per-series records by an automated test</w:t>
      </w:r>
      <w:r>
        <w:t xml:space="preserve"> </w:t>
      </w:r>
      <w:r>
        <w:t xml:space="preserve">suite, and were verified by the author. All scientific judgements, interpretations and</w:t>
      </w:r>
      <w:r>
        <w:t xml:space="preserve"> </w:t>
      </w:r>
      <w:r>
        <w:t xml:space="preserve">conclusions are the author’s, who takes full responsibility for the content of this</w:t>
      </w:r>
      <w:r>
        <w:t xml:space="preserve"> </w:t>
      </w:r>
      <w:r>
        <w:t xml:space="preserve">article.</w:t>
      </w:r>
    </w:p>
    <w:bookmarkEnd w:id="59"/>
    <w:bookmarkStart w:id="6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McCollough, C.H.; Leng, S.; Yu, L.; Cody, D.D.; Boone, J.M.; McNitt-Gray, M.F. CT Dose</w:t>
      </w:r>
      <w:r>
        <w:t xml:space="preserve"> </w:t>
      </w:r>
      <w:r>
        <w:t xml:space="preserve">Index and Patient Dose: They Are Not the Same Thing.</w:t>
      </w:r>
      <w:r>
        <w:t xml:space="preserve"> </w:t>
      </w:r>
      <w:r>
        <w:rPr>
          <w:i/>
          <w:iCs/>
        </w:rPr>
        <w:t xml:space="preserve">Radiology</w:t>
      </w:r>
      <w:r>
        <w:t xml:space="preserve"> </w:t>
      </w:r>
      <w:r>
        <w:rPr>
          <w:b/>
          <w:bCs/>
        </w:rPr>
        <w:t xml:space="preserve">2011</w:t>
      </w:r>
      <w:r>
        <w:t xml:space="preserve">,</w:t>
      </w:r>
      <w:r>
        <w:t xml:space="preserve"> </w:t>
      </w:r>
      <w:r>
        <w:rPr>
          <w:i/>
          <w:iCs/>
        </w:rPr>
        <w:t xml:space="preserve">259</w:t>
      </w:r>
      <w:r>
        <w:t xml:space="preserve">,</w:t>
      </w:r>
      <w:r>
        <w:t xml:space="preserve"> </w:t>
      </w:r>
      <w:r>
        <w:t xml:space="preserve">311–316. https://doi.org/10.1148/radiol.11101800</w:t>
      </w:r>
    </w:p>
    <w:p>
      <w:pPr>
        <w:pStyle w:val="Compact"/>
        <w:numPr>
          <w:ilvl w:val="0"/>
          <w:numId w:val="1002"/>
        </w:numPr>
      </w:pPr>
      <w:r>
        <w:t xml:space="preserve">Kalra, M.K. Automatic Exposure Control in Multidetector-row CT. In</w:t>
      </w:r>
      <w:r>
        <w:t xml:space="preserve"> </w:t>
      </w:r>
      <w:r>
        <w:rPr>
          <w:i/>
          <w:iCs/>
        </w:rPr>
        <w:t xml:space="preserve">Medical Radiology</w:t>
      </w:r>
      <w:r>
        <w:t xml:space="preserve">; Springer: Berlin, Heidelberg, 2011; pp. 259-272. https://doi.org/10.1007/174_2011_480.</w:t>
      </w:r>
    </w:p>
    <w:p>
      <w:pPr>
        <w:pStyle w:val="Compact"/>
        <w:numPr>
          <w:ilvl w:val="0"/>
          <w:numId w:val="1002"/>
        </w:numPr>
      </w:pPr>
      <w:r>
        <w:t xml:space="preserve">Khatonabadi, M.; Kim, H.J.; Lu, P.; McMillan, K.L.; Cagnon, C.H.; DeMarco, J.J.;</w:t>
      </w:r>
      <w:r>
        <w:t xml:space="preserve"> </w:t>
      </w:r>
      <w:r>
        <w:t xml:space="preserve">McNitt-Gray, M.F. The Feasibility of a Regional CTDIvol to Estimate Organ Dose from</w:t>
      </w:r>
      <w:r>
        <w:t xml:space="preserve"> </w:t>
      </w:r>
      <w:r>
        <w:t xml:space="preserve">Tube Current Modulated CT Exams.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40</w:t>
      </w:r>
      <w:r>
        <w:t xml:space="preserve">, 051903.</w:t>
      </w:r>
      <w:r>
        <w:t xml:space="preserve"> </w:t>
      </w:r>
      <w:r>
        <w:t xml:space="preserve">https://doi.org/10.1118/1.4798561</w:t>
      </w:r>
    </w:p>
    <w:p>
      <w:pPr>
        <w:pStyle w:val="Compact"/>
        <w:numPr>
          <w:ilvl w:val="0"/>
          <w:numId w:val="1002"/>
        </w:numPr>
      </w:pPr>
      <w:r>
        <w:t xml:space="preserve">Tian, X.; Li, X.; Segars, W.P.; Frush, D.P.; Samei, E. Prospective Estimation of Organ</w:t>
      </w:r>
      <w:r>
        <w:t xml:space="preserve"> </w:t>
      </w:r>
      <w:r>
        <w:t xml:space="preserve">Dose in CT under Tube Current Modulation.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42</w:t>
      </w:r>
      <w:r>
        <w:t xml:space="preserve">, 1575–1585.</w:t>
      </w:r>
      <w:r>
        <w:t xml:space="preserve"> </w:t>
      </w:r>
      <w:r>
        <w:t xml:space="preserve">https://doi.org/10.1118/1.4907955</w:t>
      </w:r>
    </w:p>
    <w:p>
      <w:pPr>
        <w:pStyle w:val="Compact"/>
        <w:numPr>
          <w:ilvl w:val="0"/>
          <w:numId w:val="1002"/>
        </w:numPr>
      </w:pPr>
      <w:r>
        <w:t xml:space="preserve">Li, X.; Marschall, T.A.; Yang, K.; Liu, B. Technical Note: Advancing Size-Specific</w:t>
      </w:r>
      <w:r>
        <w:t xml:space="preserve"> </w:t>
      </w:r>
      <w:r>
        <w:t xml:space="preserve">Dose Estimates in CT Examinations: Dose Estimates at Longitudinal Positions of Scans.</w:t>
      </w:r>
      <w:r>
        <w:t xml:space="preserve"> </w:t>
      </w:r>
      <w:r>
        <w:rPr>
          <w:i/>
          <w:iCs/>
        </w:rPr>
        <w:t xml:space="preserve">Med. Phys.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49</w:t>
      </w:r>
      <w:r>
        <w:t xml:space="preserve">, 1303–1311. https://doi.org/10.1002/mp.15402</w:t>
      </w:r>
    </w:p>
    <w:p>
      <w:pPr>
        <w:pStyle w:val="Compact"/>
        <w:numPr>
          <w:ilvl w:val="0"/>
          <w:numId w:val="1002"/>
        </w:numPr>
      </w:pPr>
      <w:r>
        <w:t xml:space="preserve">Nuntue, C.; Matsubara, K.; Watanabe, S.; Fukushima, K.; Tantiwetchayanon, K. Improved</w:t>
      </w:r>
      <w:r>
        <w:t xml:space="preserve"> </w:t>
      </w:r>
      <w:r>
        <w:t xml:space="preserve">Organ Absorbed Dose Estimation in Abdominal CT Using DICOM Header-Based Tube Current</w:t>
      </w:r>
      <w:r>
        <w:t xml:space="preserve"> </w:t>
      </w:r>
      <w:r>
        <w:t xml:space="preserve">Modulation Profiles: Validation with Measurements and Monte Carlo Simulations.</w:t>
      </w:r>
      <w:r>
        <w:t xml:space="preserve"> </w:t>
      </w:r>
      <w:r>
        <w:rPr>
          <w:i/>
          <w:iCs/>
        </w:rPr>
        <w:t xml:space="preserve">J.</w:t>
      </w:r>
      <w:r>
        <w:rPr>
          <w:i/>
          <w:iCs/>
        </w:rPr>
        <w:t xml:space="preserve"> </w:t>
      </w:r>
      <w:r>
        <w:rPr>
          <w:i/>
          <w:iCs/>
        </w:rPr>
        <w:t xml:space="preserve">Appl. Clin. Med. Phys.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e70321. https://doi.org/10.1002/acm2.70321</w:t>
      </w:r>
    </w:p>
    <w:p>
      <w:pPr>
        <w:pStyle w:val="Compact"/>
        <w:numPr>
          <w:ilvl w:val="0"/>
          <w:numId w:val="1002"/>
        </w:numPr>
      </w:pPr>
      <w:r>
        <w:t xml:space="preserve">Eom, Y.; Park, Y.-J.; Lee, S.; Lee, S.-J.; An, Y.-S.; Park, B.-N.; Yoon, J.-K.</w:t>
      </w:r>
      <w:r>
        <w:t xml:space="preserve"> </w:t>
      </w:r>
      <w:r>
        <w:t xml:space="preserve">Automated Measurement of Effective Radiation Dose by 18F-Fluorodeoxyglucose Positron</w:t>
      </w:r>
      <w:r>
        <w:t xml:space="preserve"> </w:t>
      </w:r>
      <w:r>
        <w:t xml:space="preserve">Emission Tomography/Computed Tomography.</w:t>
      </w:r>
      <w:r>
        <w:t xml:space="preserve"> </w:t>
      </w:r>
      <w:r>
        <w:rPr>
          <w:i/>
          <w:iCs/>
        </w:rPr>
        <w:t xml:space="preserve">Tomography</w:t>
      </w:r>
      <w:r>
        <w:t xml:space="preserve"> </w:t>
      </w:r>
      <w:r>
        <w:rPr>
          <w:b/>
          <w:bCs/>
        </w:rPr>
        <w:t xml:space="preserve">2024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, 2144–2157.</w:t>
      </w:r>
      <w:r>
        <w:t xml:space="preserve"> </w:t>
      </w:r>
      <w:r>
        <w:t xml:space="preserve">https://doi.org/10.3390/tomography10120151</w:t>
      </w:r>
    </w:p>
    <w:p>
      <w:pPr>
        <w:pStyle w:val="Compact"/>
        <w:numPr>
          <w:ilvl w:val="0"/>
          <w:numId w:val="1002"/>
        </w:numPr>
      </w:pPr>
      <w:r>
        <w:t xml:space="preserve">Wasserthal, J.; Breit, H.-C.; Meyer, M.T.; Pradella, M.; Hinck, D.; Sauter, A.W.; Heye,</w:t>
      </w:r>
      <w:r>
        <w:t xml:space="preserve"> </w:t>
      </w:r>
      <w:r>
        <w:t xml:space="preserve">T.; Boll, D.T.; Cyriac, J.; Yang, S.; Bach, M.; Segeroth, M. TotalSegmentator: Robust</w:t>
      </w:r>
      <w:r>
        <w:t xml:space="preserve"> </w:t>
      </w:r>
      <w:r>
        <w:t xml:space="preserve">Segmentation of 104 Anatomic Structures in CT Images.</w:t>
      </w:r>
      <w:r>
        <w:t xml:space="preserve"> </w:t>
      </w:r>
      <w:r>
        <w:rPr>
          <w:i/>
          <w:iCs/>
        </w:rPr>
        <w:t xml:space="preserve">Radiol. Artif. Intell.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, e230024. https://doi.org/10.1148/ryai.230024</w:t>
      </w:r>
    </w:p>
    <w:p>
      <w:pPr>
        <w:pStyle w:val="Compact"/>
        <w:numPr>
          <w:ilvl w:val="0"/>
          <w:numId w:val="1002"/>
        </w:numPr>
      </w:pPr>
      <w:r>
        <w:t xml:space="preserve">Isensee, F.; Jaeger, P.F.; Kohl, S.A.A.; Petersen, J.; Maier-Hein, K.H. nnU-Net: A</w:t>
      </w:r>
      <w:r>
        <w:t xml:space="preserve"> </w:t>
      </w:r>
      <w:r>
        <w:t xml:space="preserve">Self-Configuring Method for Deep Learning-Based Biomedical Image Segmentation.</w:t>
      </w:r>
      <w:r>
        <w:t xml:space="preserve"> </w:t>
      </w:r>
      <w:r>
        <w:rPr>
          <w:i/>
          <w:iCs/>
        </w:rPr>
        <w:t xml:space="preserve">Nat.</w:t>
      </w:r>
      <w:r>
        <w:rPr>
          <w:i/>
          <w:iCs/>
        </w:rPr>
        <w:t xml:space="preserve"> </w:t>
      </w:r>
      <w:r>
        <w:rPr>
          <w:i/>
          <w:iCs/>
        </w:rPr>
        <w:t xml:space="preserve">Methods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18</w:t>
      </w:r>
      <w:r>
        <w:t xml:space="preserve">, 203–211. https://doi.org/10.1038/s41592-020-01008-z</w:t>
      </w:r>
    </w:p>
    <w:p>
      <w:pPr>
        <w:pStyle w:val="Compact"/>
        <w:numPr>
          <w:ilvl w:val="0"/>
          <w:numId w:val="1002"/>
        </w:numPr>
      </w:pPr>
      <w:r>
        <w:t xml:space="preserve">ICRP. Basic Anatomical and Physiological Data for Use in Radiological Protection:</w:t>
      </w:r>
      <w:r>
        <w:t xml:space="preserve"> </w:t>
      </w:r>
      <w:r>
        <w:t xml:space="preserve">Reference Values. ICRP Publication 89.</w:t>
      </w:r>
      <w:r>
        <w:t xml:space="preserve"> </w:t>
      </w:r>
      <w:r>
        <w:rPr>
          <w:i/>
          <w:iCs/>
        </w:rPr>
        <w:t xml:space="preserve">Ann. ICRP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 </w:t>
      </w:r>
      <w:r>
        <w:t xml:space="preserve">(3–4).</w:t>
      </w:r>
    </w:p>
    <w:p>
      <w:pPr>
        <w:pStyle w:val="Compact"/>
        <w:numPr>
          <w:ilvl w:val="0"/>
          <w:numId w:val="1002"/>
        </w:numPr>
      </w:pPr>
      <w:r>
        <w:t xml:space="preserve">Moore, S.M.; Maffitt, D.R.; Smith, K.E.; Kirby, J.S.; Clark, K.W.; Freymann, J.B.; Vendt, B.A.; Tarbox, L.R.; Prior, F.W. De-identification of Medical Images with Retention of Scientific Research Value. RadioGraphics 2015, 35, 727-735. https://doi.org/10.1148/rg.2015140244.</w:t>
      </w:r>
    </w:p>
    <w:p>
      <w:pPr>
        <w:pStyle w:val="Compact"/>
        <w:numPr>
          <w:ilvl w:val="0"/>
          <w:numId w:val="1002"/>
        </w:numPr>
      </w:pPr>
      <w:r>
        <w:t xml:space="preserve">Clark, K.; Vendt, B.; Smith, K.; Freymann, J.; Kirby, J.; Koppel, P.; Moore, S.;</w:t>
      </w:r>
      <w:r>
        <w:t xml:space="preserve"> </w:t>
      </w:r>
      <w:r>
        <w:t xml:space="preserve">Phillips, S.; Maffitt, D.; Pringle, M.; Tarbox, L.; Prior, F. The Cancer Imaging</w:t>
      </w:r>
      <w:r>
        <w:t xml:space="preserve"> </w:t>
      </w:r>
      <w:r>
        <w:t xml:space="preserve">Archive (TCIA): Maintaining and Operating a Public Information Repository.</w:t>
      </w:r>
      <w:r>
        <w:t xml:space="preserve"> </w:t>
      </w:r>
      <w:r>
        <w:rPr>
          <w:i/>
          <w:iCs/>
        </w:rPr>
        <w:t xml:space="preserve">J. Digit.</w:t>
      </w:r>
      <w:r>
        <w:rPr>
          <w:i/>
          <w:iCs/>
        </w:rPr>
        <w:t xml:space="preserve"> </w:t>
      </w:r>
      <w:r>
        <w:rPr>
          <w:i/>
          <w:iCs/>
        </w:rPr>
        <w:t xml:space="preserve">Imaging</w:t>
      </w:r>
      <w:r>
        <w:t xml:space="preserve"> </w:t>
      </w:r>
      <w:r>
        <w:rPr>
          <w:b/>
          <w:bCs/>
        </w:rPr>
        <w:t xml:space="preserve">2013</w:t>
      </w:r>
      <w:r>
        <w:t xml:space="preserve">,</w:t>
      </w:r>
      <w:r>
        <w:t xml:space="preserve"> </w:t>
      </w:r>
      <w:r>
        <w:rPr>
          <w:i/>
          <w:iCs/>
        </w:rPr>
        <w:t xml:space="preserve">26</w:t>
      </w:r>
      <w:r>
        <w:t xml:space="preserve">, 1045–1057. https://doi.org/10.1007/s10278-013-9622-7</w:t>
      </w:r>
    </w:p>
    <w:p>
      <w:pPr>
        <w:pStyle w:val="Compact"/>
        <w:numPr>
          <w:ilvl w:val="0"/>
          <w:numId w:val="1002"/>
        </w:numPr>
      </w:pPr>
      <w:r>
        <w:t xml:space="preserve">Yamamoto, S. ctdose-core: open, auditable CT dose surveillance from DICOM, with a</w:t>
      </w:r>
      <w:r>
        <w:t xml:space="preserve"> </w:t>
      </w:r>
      <w:r>
        <w:t xml:space="preserve">physics reconstruction when the dose attributes are missing (Version 0.1.1)</w:t>
      </w:r>
      <w:r>
        <w:t xml:space="preserve"> </w:t>
      </w:r>
      <w:r>
        <w:t xml:space="preserve">[Software]. Zenodo,</w:t>
      </w:r>
      <w:r>
        <w:t xml:space="preserve"> </w:t>
      </w:r>
      <w:r>
        <w:rPr>
          <w:b/>
          <w:bCs/>
        </w:rPr>
        <w:t xml:space="preserve">2026</w:t>
      </w:r>
      <w:r>
        <w:t xml:space="preserve">. https://doi.org/10.5281/zenodo.21636719</w:t>
      </w:r>
    </w:p>
    <w:p>
      <w:pPr>
        <w:pStyle w:val="Compact"/>
        <w:numPr>
          <w:ilvl w:val="0"/>
          <w:numId w:val="1002"/>
        </w:numPr>
      </w:pPr>
      <w:r>
        <w:t xml:space="preserve">Isensee, F.; Wald, T.; Ulrich, C.; Baumgartner, M.; Roy, S.; Maier-Hein, K.; Jaeger, P.F. nnU-Net Revisited: A Call for Rigorous Validation in 3D Medical Image Segmentation. In</w:t>
      </w:r>
      <w:r>
        <w:t xml:space="preserve"> </w:t>
      </w:r>
      <w:r>
        <w:rPr>
          <w:i/>
          <w:iCs/>
        </w:rPr>
        <w:t xml:space="preserve">Lecture Notes in Computer Science</w:t>
      </w:r>
      <w:r>
        <w:t xml:space="preserve">; Springer: Cham, 2024; pp. 488-498. https://doi.org/10.1007/978-3-031-72114-4_47.</w:t>
      </w:r>
    </w:p>
    <w:p>
      <w:pPr>
        <w:pStyle w:val="Compact"/>
        <w:numPr>
          <w:ilvl w:val="0"/>
          <w:numId w:val="1002"/>
        </w:numPr>
      </w:pPr>
      <w:r>
        <w:t xml:space="preserve">McCollough, C.; Bakalyar, D.M.; Bostani, M.; Brady, S.; Boedeker, K.; Boone, J.M.;</w:t>
      </w:r>
      <w:r>
        <w:t xml:space="preserve"> </w:t>
      </w:r>
      <w:r>
        <w:t xml:space="preserve">Chen-Mayer, H.H.; Christianson, O.I.; Leng, S.; Li, B.; et al. Use of Water Equivalent</w:t>
      </w:r>
      <w:r>
        <w:t xml:space="preserve"> </w:t>
      </w:r>
      <w:r>
        <w:t xml:space="preserve">Diameter for Calculating Patient Size and Size-Specific Dose Estimates (SSDE) in CT:</w:t>
      </w:r>
      <w:r>
        <w:t xml:space="preserve"> </w:t>
      </w:r>
      <w:r>
        <w:t xml:space="preserve">The Report of AAPM Task Group 220.</w:t>
      </w:r>
      <w:r>
        <w:t xml:space="preserve"> </w:t>
      </w:r>
      <w:r>
        <w:rPr>
          <w:i/>
          <w:iCs/>
        </w:rPr>
        <w:t xml:space="preserve">AAPM Report No. 220</w:t>
      </w:r>
      <w:r>
        <w:t xml:space="preserve">,</w:t>
      </w:r>
      <w:r>
        <w:t xml:space="preserve"> </w:t>
      </w:r>
      <w:r>
        <w:rPr>
          <w:b/>
          <w:bCs/>
        </w:rPr>
        <w:t xml:space="preserve">2014</w:t>
      </w:r>
      <w:r>
        <w:t xml:space="preserve">.</w:t>
      </w:r>
      <w:r>
        <w:t xml:space="preserve"> </w:t>
      </w:r>
      <w:r>
        <w:t xml:space="preserve">https://doi.org/10.37206/146</w:t>
      </w:r>
    </w:p>
    <w:p>
      <w:pPr>
        <w:pStyle w:val="Compact"/>
        <w:numPr>
          <w:ilvl w:val="0"/>
          <w:numId w:val="1002"/>
        </w:numPr>
      </w:pPr>
      <w:r>
        <w:t xml:space="preserve">ICRU. Tissue Substitutes in Radiation Dosimetry and Measurement. ICRU Report 44; ICRU:</w:t>
      </w:r>
      <w:r>
        <w:t xml:space="preserve"> </w:t>
      </w:r>
      <w:r>
        <w:t xml:space="preserve">Bethesda, MD, USA,</w:t>
      </w:r>
      <w:r>
        <w:t xml:space="preserve"> </w:t>
      </w:r>
      <w:r>
        <w:rPr>
          <w:b/>
          <w:bCs/>
        </w:rPr>
        <w:t xml:space="preserve">1989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Schneider, U.; Pedroni, E.; Lomax, A. The Calibration of CT Hounsfield Units for</w:t>
      </w:r>
      <w:r>
        <w:t xml:space="preserve"> </w:t>
      </w:r>
      <w:r>
        <w:t xml:space="preserve">Radiotherapy Treatment Planning.</w:t>
      </w:r>
      <w:r>
        <w:t xml:space="preserve"> </w:t>
      </w:r>
      <w:r>
        <w:rPr>
          <w:i/>
          <w:iCs/>
        </w:rPr>
        <w:t xml:space="preserve">Phys. Med. Biol.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41</w:t>
      </w:r>
      <w:r>
        <w:t xml:space="preserve">, 111–124.</w:t>
      </w:r>
      <w:r>
        <w:t xml:space="preserve"> </w:t>
      </w:r>
      <w:r>
        <w:t xml:space="preserve">https://doi.org/10.1088/0031-9155/41/1/009</w:t>
      </w:r>
    </w:p>
    <w:p>
      <w:pPr>
        <w:pStyle w:val="Compact"/>
        <w:numPr>
          <w:ilvl w:val="0"/>
          <w:numId w:val="1002"/>
        </w:numPr>
      </w:pPr>
      <w:r>
        <w:t xml:space="preserve">Dinwiddie, L.E.; Baggett, J.M.; Kofler, J.M.; et al. Survey of Normalized CTDIvol</w:t>
      </w:r>
      <w:r>
        <w:t xml:space="preserve"> </w:t>
      </w:r>
      <w:r>
        <w:t xml:space="preserve">Values Across Four Major Computed Tomography Vendors for Use in the MIRDct Software.</w:t>
      </w:r>
      <w:r>
        <w:t xml:space="preserve"> </w:t>
      </w:r>
      <w:r>
        <w:rPr>
          <w:i/>
          <w:iCs/>
        </w:rPr>
        <w:t xml:space="preserve">J. Appl. Clin. Med. Phys.</w:t>
      </w:r>
      <w:r>
        <w:t xml:space="preserve"> </w:t>
      </w:r>
      <w:r>
        <w:rPr>
          <w:b/>
          <w:bCs/>
        </w:rPr>
        <w:t xml:space="preserve">2026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, e70473. https://doi.org/10.1002/acm2.70473</w:t>
      </w:r>
    </w:p>
    <w:p>
      <w:pPr>
        <w:pStyle w:val="Compact"/>
        <w:numPr>
          <w:ilvl w:val="0"/>
          <w:numId w:val="1002"/>
        </w:numPr>
      </w:pPr>
      <w:r>
        <w:t xml:space="preserve">Boos, J.; Meineke, A.; Rubbert, C.; Heusch, P.; Lanzman, R.S.; Aissa, J.; Antoch, G.; Kroepil, P. Dose Monitoring Using the DICOM Structured Report: Assessment of the Relationship between Cumulative Radiation Exposure and Body Mass Index in Abdominal CT.</w:t>
      </w:r>
      <w:r>
        <w:t xml:space="preserve"> </w:t>
      </w:r>
      <w:r>
        <w:rPr>
          <w:i/>
          <w:iCs/>
        </w:rPr>
        <w:t xml:space="preserve">Clin. Radiol.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70</w:t>
      </w:r>
      <w:r>
        <w:t xml:space="preserve">, 176-182. https://doi.org/10.1016/j.crad.2014.11.002.</w:t>
      </w:r>
    </w:p>
    <w:p>
      <w:pPr>
        <w:pStyle w:val="Compact"/>
        <w:numPr>
          <w:ilvl w:val="0"/>
          <w:numId w:val="1002"/>
        </w:numPr>
      </w:pPr>
      <w:r>
        <w:t xml:space="preserve">Zucker, E.J.; Barnes, J.B.; Seguin, C.; Chatfield, M.; Newman, B. Radiologist Compliance With California CT Dose Reporting Requirements: A Single-Center Review of Pediatric Chest CT.</w:t>
      </w:r>
      <w:r>
        <w:t xml:space="preserve"> </w:t>
      </w:r>
      <w:r>
        <w:rPr>
          <w:i/>
          <w:iCs/>
        </w:rPr>
        <w:t xml:space="preserve">AJR Am. J. Roentgenol.</w:t>
      </w:r>
      <w:r>
        <w:t xml:space="preserve"> </w:t>
      </w:r>
      <w:r>
        <w:rPr>
          <w:b/>
          <w:bCs/>
        </w:rPr>
        <w:t xml:space="preserve">2015</w:t>
      </w:r>
      <w:r>
        <w:t xml:space="preserve">,</w:t>
      </w:r>
      <w:r>
        <w:t xml:space="preserve"> </w:t>
      </w:r>
      <w:r>
        <w:rPr>
          <w:i/>
          <w:iCs/>
        </w:rPr>
        <w:t xml:space="preserve">204</w:t>
      </w:r>
      <w:r>
        <w:t xml:space="preserve">, 810-816. https://doi.org/10.2214/ajr.14.13693.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2026-08-28T08:42:57Z</dcterms:created>
  <dcterms:modified xsi:type="dcterms:W3CDTF">2026-08-28T08:42:57Z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