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1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8262add42ea8d56622f6b373f153214da92c143"/>
    <w:p>
      <w:pPr>
        <w:pStyle w:val="Heading1"/>
      </w:pPr>
      <w:r>
        <w:t xml:space="preserve">Anatomy-Weighted CTDIvol from Routine CT Metadata: A Patient-Specific, Multi-Vendor Study Using Deep-Learning Segmentation</w:t>
      </w:r>
    </w:p>
    <w:p>
      <w:pPr>
        <w:pStyle w:val="FirstParagraph"/>
      </w:pPr>
      <w:r>
        <w:rPr>
          <w:b/>
          <w:bCs/>
        </w:rPr>
        <w:t xml:space="preserve">Shuji Yamamoto</w:t>
      </w:r>
    </w:p>
    <w:p>
      <w:pPr>
        <w:pStyle w:val="BodyText"/>
      </w:pPr>
      <w:r>
        <w:t xml:space="preserve">Institute of One, LISIT Co., Ltd., Tokyo, Japan; yamamoto@lisit.jp; ORCID 0000-0001-9211-1071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yamamoto@lisit.jp</w:t>
      </w:r>
    </w:p>
    <w:bookmarkStart w:id="9" w:name="simple-summary"/>
    <w:p>
      <w:pPr>
        <w:pStyle w:val="Heading2"/>
      </w:pPr>
      <w:r>
        <w:t xml:space="preserve">Simple Summary</w:t>
      </w:r>
    </w:p>
    <w:p>
      <w:pPr>
        <w:pStyle w:val="FirstParagraph"/>
      </w:pPr>
      <w:r>
        <w:t xml:space="preserve">CT scanners report a single dose number for the whole scan, yet the dose is delivered</w:t>
      </w:r>
      <w:r>
        <w:t xml:space="preserve"> </w:t>
      </w:r>
      <w:r>
        <w:t xml:space="preserve">unevenly across organs. We built an open, freely available software pipeline that uses</w:t>
      </w:r>
      <w:r>
        <w:t xml:space="preserve"> </w:t>
      </w:r>
      <w:r>
        <w:t xml:space="preserve">deep-learning segmentation to outline each abdominal organ on routine CT images and then</w:t>
      </w:r>
      <w:r>
        <w:t xml:space="preserve"> </w:t>
      </w:r>
      <w:r>
        <w:t xml:space="preserve">derives a patient-specific, organ-level dose</w:t>
      </w:r>
      <w:r>
        <w:t xml:space="preserve"> </w:t>
      </w:r>
      <w:r>
        <w:rPr>
          <w:i/>
          <w:iCs/>
        </w:rPr>
        <w:t xml:space="preserve">index</w:t>
      </w:r>
      <w:r>
        <w:t xml:space="preserve"> </w:t>
      </w:r>
      <w:r>
        <w:t xml:space="preserve">directly from data the scanner</w:t>
      </w:r>
      <w:r>
        <w:t xml:space="preserve"> </w:t>
      </w:r>
      <w:r>
        <w:t xml:space="preserve">already records. Across scans from four manufacturers we found that this organ-level</w:t>
      </w:r>
      <w:r>
        <w:t xml:space="preserve"> </w:t>
      </w:r>
      <w:r>
        <w:t xml:space="preserve">information can be recovered for some scanners but is entirely absent for others, because</w:t>
      </w:r>
      <w:r>
        <w:t xml:space="preserve"> </w:t>
      </w:r>
      <w:r>
        <w:t xml:space="preserve">the values it needs were not kept in the archived scan records. All software, results, and</w:t>
      </w:r>
      <w:r>
        <w:t xml:space="preserve"> </w:t>
      </w:r>
      <w:r>
        <w:t xml:space="preserve">data provenance are fully open so the work can be reproduced and extended.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highlight w:val="yellow"/>
        </w:rPr>
        <w:t xml:space="preserve">CTDIvol is a scanner-output index, not an organ dose, and cannot express how tube-current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modulation varies along a patient. An organ-specific weighted CTDIvol addressing this has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been reported before, in single-institution cohorts and often from inputs routine archives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 not retain. New here is not the quantity but what an open, multi-vendor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operationalisation reveals: whether its inputs survive archive curation, and what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fallback costs when they do not. Forty abdominal CT series, ten per manufacturer, were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drawn from The Cancer Imaging Archive and twelve organs segmented with TotalSegmentator 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inference. Of 480 requested organ–series combinations, 455 were produced. A rule-based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acquisition-constancy criterion admitted 39 series. Modulation weights spanned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0.59 to 1.69, so the index departs from the whole-scan CTDIvol by up to 70% within 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acquisition. A recorded CTDIvol survived in 29 of 40 archived headers, was reconstructable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5 and unavailable in 6, availability differing markedly between manufacturers. Forcing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reconstruction on series that did retain a value agreed to within 12% on three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scanner models and diverged by 58% and 84% on two others. Estimated organ mass was broadly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consistent with ICRP 89 for liver and kidneys. This index is not absorbed dose;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implementation is open.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computed tomography; CTDIvol; tube-current modulation; deep-learning</w:t>
      </w:r>
      <w:r>
        <w:t xml:space="preserve"> </w:t>
      </w:r>
      <w:r>
        <w:t xml:space="preserve">segmentation; TotalSegmentator; image-based dosimetry indices; reproducibility; open data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rPr>
          <w:highlight w:val="yellow"/>
        </w:rPr>
        <w:t xml:space="preserve">Two different things are routinely conflated when CT dose is discussed. The first is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dose index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not a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dose</w:t>
      </w:r>
      <w:r>
        <w:rPr>
          <w:highlight w:val="yellow"/>
        </w:rPr>
        <w:t xml:space="preserve">: CTDIvol describes the output of a scanner into a standard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cylinder of acrylic, and is a property of the acquisition rather than of the patient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it — a distinction set out explicitly by McCollough et al. [1]. The second is that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single value per series cannot express variation along the patient: almost every modern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acquisition modulates the tube current longitudinally [2], so the conditions over the liver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over the bladder are not the same, and one number for the series conceals that.</w:t>
      </w:r>
    </w:p>
    <w:p>
      <w:pPr>
        <w:pStyle w:val="BodyText"/>
      </w:pPr>
      <w:r>
        <w:rPr>
          <w:highlight w:val="yellow"/>
        </w:rPr>
        <w:t xml:space="preserve">That second point is well established. Khatonabadi et al. demonstrated that a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regional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organ-specific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CTDIvol, formed from the modulation profile over an organ’s own location,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tracks Monte-Carlo organ dose far better than the whole-scan value, raising the coefficient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 determination for liver dose from 0.26 to 0.86 [3]. Tian et al. formalised a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weighted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organ-specific CTDIvol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computed from the modulation profile and used it, with organ-dose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coefficients, to predict organ dose prospectively [4].</w:t>
      </w:r>
    </w:p>
    <w:p>
      <w:pPr>
        <w:pStyle w:val="BodyText"/>
      </w:pPr>
      <w:r>
        <w:rPr>
          <w:b/>
          <w:bCs/>
        </w:rPr>
        <w:t xml:space="preserve">The quantity examined here is therefore not new, and no new index is proposed.</w:t>
      </w:r>
      <w:r>
        <w:t xml:space="preserve"> </w:t>
      </w:r>
      <w:r>
        <w:t xml:space="preserve">This</w:t>
      </w:r>
      <w:r>
        <w:t xml:space="preserve"> </w:t>
      </w:r>
      <w:r>
        <w:t xml:space="preserve">study takes the organ-specific weighted CTDIvol already reported in that literature and</w:t>
      </w:r>
      <w:r>
        <w:t xml:space="preserve"> </w:t>
      </w:r>
      <w:r>
        <w:t xml:space="preserve">asks a different question: what happens when it is operationalised openly, end to end, on</w:t>
      </w:r>
      <w:r>
        <w:t xml:space="preserve"> </w:t>
      </w:r>
      <w:r>
        <w:t xml:space="preserve">heterogeneous archived data from four manufacturers, using automated segmentation and</w:t>
      </w:r>
      <w:r>
        <w:t xml:space="preserve"> </w:t>
      </w:r>
      <w:r>
        <w:t xml:space="preserve">nothing but the metadata a scanner already writes?</w:t>
      </w:r>
    </w:p>
    <w:p>
      <w:pPr>
        <w:pStyle w:val="BodyText"/>
      </w:pPr>
      <w:r>
        <w:rPr>
          <w:highlight w:val="yellow"/>
        </w:rPr>
        <w:t xml:space="preserve">Existing work only partially answers that question. Longitudinal dose indices,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DICOM-header-derived modulation profiles and TotalSegmentator-assisted dose calculations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have each been investigated, but in different settings and for different endpoints. Li et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al. characterised the size-specific dose estimate as a function of longitudinal position,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SSDE(z), under both fixed and modulated tube current [5]. Nuntue et al. derived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tube-current-modulation profiles from DICOM headers and used them, with Monte-Carlo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simulation and physical measurement, to improve absorbed organ dose estimates in abdominal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CT [6]. Eom et al. incorporated TotalSegmentator into an automated effective-dose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calculation on clinical PET/CT [7]. What remains insufficiently characterised is whether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organ-weighting layer can be reconstructed end to end from heterogeneous archived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DICOM alone, how often the required inputs survive archive curation and de-identification,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how acquisition-parameter constancy can be verified, and how the resulting quantity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behaves across manufacturers when patient-specific contours are obtained automatically.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Deep-learning segmentation is what makes the attempt practical at scale: a general-purpose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segmenter such as TotalSegmentator [8], built on nnU-Net [9], produces abdominal organ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masks from a routine series in seconds at inference only, so the anatomy is now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effectively free.</w:t>
      </w:r>
    </w:p>
    <w:p>
      <w:pPr>
        <w:pStyle w:val="BodyText"/>
      </w:pPr>
      <w:r>
        <w:rPr>
          <w:highlight w:val="yellow"/>
        </w:rPr>
        <w:t xml:space="preserve">This study is accordingly an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open, multi-vendor operationalisation and empirical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characterisation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 a previously reported quantity: the whole-scan CTDIvol scaled by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dimensionless, organ-specific weight formed from the recorded per-slice tube current over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organ’s segmented longitudinal extent, referred to here as the anatomy-weighted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CTDIvol index. It is explicitly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 estimate of absorbed organ dose, and Section 2.11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sets out what it does not account for.</w:t>
      </w:r>
    </w:p>
    <w:p>
      <w:pPr>
        <w:pStyle w:val="BodyText"/>
      </w:pPr>
      <w:r>
        <w:rPr>
          <w:highlight w:val="yellow"/>
        </w:rPr>
        <w:t xml:space="preserve">Converting an index of this kind into an absorbed organ dose in milligray requires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CTDIvol-normalised organ-dose coefficients, computed by Monte-Carlo simulation over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anthropomorphic patient models and corrected for patient size [4]. Such coefficient sets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exist, are well validated, and are in routine use; the index reported here does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replace them and is not offered as a surrogate for their output.</w:t>
      </w:r>
    </w:p>
    <w:p>
      <w:pPr>
        <w:pStyle w:val="BodyText"/>
      </w:pPr>
      <w:r>
        <w:rPr>
          <w:highlight w:val="yellow"/>
        </w:rPr>
        <w:t xml:space="preserve">The contributions are stated below in terms of what is computed and by what rule, since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is where the novelty of an operationalisation lies:</w:t>
      </w:r>
    </w:p>
    <w:p>
      <w:pPr>
        <w:pStyle w:val="BodyText"/>
      </w:pPr>
      <w:r>
        <w:rPr>
          <w:highlight w:val="yellow"/>
        </w:rPr>
        <w:t xml:space="preserve">1.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An end-to-end computation from archived metadata alone.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Per-slice tube current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I(z) is read from (0018,1151) on every image; the series is resampled onto a uniform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slice grid; twelve organ masks are obtained from a general-purpose segmenter 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inference; each organ’s longitudinal extent is taken from the extreme slices of its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own mask; and the organ weight is the mean of I(z) over that extent divided by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mean over the whole series. The index is that weight times the whole-scan CTDIvol.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Nothing in the chain requires projection data, a manual contour, or a value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scanner did not already write.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2.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A multi-vendor empirical characterisation of the resulting quantity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— its range,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its within-acquisition spread and its behaviour across four manufacturers — computed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by the same code on all series, so that between-vendor differences cannot arise from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between-site processing.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3.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A measurement of how often the inputs survive archive curation, and of what happens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when one of them does not.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measurement is a direct inspection of the archived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headers of all 40 series for the two attributes the index needs: per-slice tube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current, and a whole-scan CTDIvol in (0018,9345). Where the second is absent it can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sometimes be rebuilt from acquisition physics, and Section 3.5 reports how far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reconstruction agrees with the recorded value on the series where both can 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obtained. What is new is the pairing: retention rates measured on a multi-vendor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archive sample, together with the accuracy and the coverage of the fallback that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gaps force a retrospective study onto.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4.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A rule-based acquisition-constancy criterion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makes the proportionality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assumption behind the weighting testable rather than implicit: a series is admitted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only if every attribute that governs scanner output other than tube current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constant within it, to a tolerance justified in Section 2.9 from the resolution 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which those attributes are stored.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5.</w:t>
      </w:r>
      <w:r>
        <w:rPr>
          <w:highlight w:val="yellow"/>
        </w:rPr>
        <w:t xml:space="preserve"> </w:t>
      </w:r>
      <w:r>
        <w:rPr>
          <w:b/>
          <w:bCs/>
          <w:highlight w:val="yellow"/>
        </w:rPr>
        <w:t xml:space="preserve">An external reference comparison of attenuation-derived estimated organ mass against</w:t>
      </w:r>
      <w:r>
        <w:rPr>
          <w:b/>
          <w:bCs/>
          <w:highlight w:val="yellow"/>
        </w:rPr>
        <w:t xml:space="preserve"> </w:t>
      </w:r>
      <w:r>
        <w:rPr>
          <w:b/>
          <w:bCs/>
          <w:highlight w:val="yellow"/>
        </w:rPr>
        <w:t xml:space="preserve">ICRP 89 values [10].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This is not a separate study but the only external check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available to the pipeline: no ground-truth organ mass exists for archived series,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organ mass is the one intermediate quantity the pipeline produces that can be compared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a published reference at all. Agreement bounds how far the segmentation and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Hounsfield-to-density mapping can jointly be wrong, which is what makes the weights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downstream of them worth reporting.</w:t>
      </w:r>
    </w:p>
    <w:bookmarkEnd w:id="11"/>
    <w:bookmarkStart w:id="27" w:name="materials-and-methods"/>
    <w:p>
      <w:pPr>
        <w:pStyle w:val="Heading2"/>
      </w:pPr>
      <w:r>
        <w:t xml:space="preserve">2. Materials and Methods</w:t>
      </w:r>
    </w:p>
    <w:bookmarkStart w:id="15" w:name="data-selection-without-bulk-download"/>
    <w:p>
      <w:pPr>
        <w:pStyle w:val="Heading3"/>
      </w:pPr>
      <w:r>
        <w:t xml:space="preserve">2.1. Data Selection Without Bulk Download</w:t>
      </w:r>
    </w:p>
    <w:p>
      <w:pPr>
        <w:pStyle w:val="FirstParagraph"/>
      </w:pPr>
      <w:r>
        <w:rPr>
          <w:highlight w:val="yellow"/>
        </w:rPr>
        <w:t xml:space="preserve">Handing a collection manifest to a bulk downloader fetches an entire collection, which for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low-dose CT collection is of the order of 600 GB, most of it raw projection data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irrelevant to this work. We therefore used a metadata-first procedure over the public NBIA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REST API with four stages — index, screen, probe, download — in which only the last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transfers a series. Figure 1 sets out the whole pipeline: the stages of data formation,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number of series surviving each, and the verification attached to each stage together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what it rejects.</w:t>
      </w:r>
    </w:p>
    <w:p>
      <w:pPr>
        <w:pStyle w:val="BodyText"/>
      </w:pPr>
      <w:r>
        <w:drawing>
          <wp:inline>
            <wp:extent cx="4800600" cy="670083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pipelin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6700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1.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Data formation and verification. Blue: stages that produce or transform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data, with the number of series or records carried forward. Orange: verification, each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box naming what its stage rejects or flags. Green: the reported quantity. Every count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read from the shipped result files.</w:t>
      </w:r>
    </w:p>
    <w:p>
      <w:pPr>
        <w:pStyle w:val="BodyText"/>
      </w:pPr>
      <w:r>
        <w:rPr>
          <w:highlight w:val="yellow"/>
        </w:rPr>
        <w:t xml:space="preserve">All series in this study are public, de-identified data from The Cancer Imaging Archive,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used under the individual collection licences recorded in the provenance file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accompanies the software. The archive’s submission process removes protected health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information from both headers and pixel data before publication while retaining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attributes research requires [11], and no imaging is redistributed by this work: series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are identified by Series Instance UID, collection and licence so that any of them can 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re-fetched. The study required no ethical approval, since it uses only such data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enrols no participants.</w:t>
      </w:r>
    </w:p>
    <w:p>
      <w:pPr>
        <w:pStyle w:val="BodyText"/>
      </w:pPr>
      <w:r>
        <w:rPr>
          <w:highlight w:val="yellow"/>
        </w:rPr>
        <w:t xml:space="preserve">All imaging was drawn from The Cancer Imaging Archive [12]. The candidate index was built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from 47,181 CT series across 21 abdominal collections, read as series-level JSON with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pixel data. Candidates were seeded from the public-archive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survey distributed with the companion software release [13] — a software record, not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peer-reviewed study — and supplemented by direct collection queries. A metadata screen then rejected, in order and with each rejection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counted: non-patient collections (imaging phantoms and de-identification benchmarks);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projection and raw-data series, of which 398 were refused at this stage; non-diagnostic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series (localisers, dose reports, screen captures); series shorter than 40 or longer than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1200 images; and series outside the abdomen. One series was retained per patient per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collection, and each manufacturer’s quota was drawn round-robin across its collections so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manufacturer was not confounded with a single collection.</w:t>
      </w:r>
    </w:p>
    <w:p>
      <w:pPr>
        <w:pStyle w:val="BodyText"/>
      </w:pPr>
      <w:r>
        <w:rPr>
          <w:highlight w:val="yellow"/>
        </w:rPr>
        <w:t xml:space="preserve">Ten series per manufacturer was chosen for what the study measures. Every quantity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reported here is a per-series or per-organ property computed by identical code, so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comparison that matters is between organs within a patient, where each series is its own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control and 40 series yield 455 organ records. Ten per manufacturer supports a median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 interquartile range for a manufacturer, which is what is reported, and does not support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distributional claim about one, which is not. Nothing in the design is powered by adding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series: a larger cohort would narrow those interquartile ranges without changing what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index is or whether its inputs survive archive curation.</w:t>
      </w:r>
    </w:p>
    <w:p>
      <w:pPr>
        <w:pStyle w:val="BodyText"/>
      </w:pPr>
      <w:r>
        <w:rPr>
          <w:highlight w:val="yellow"/>
        </w:rPr>
        <w:t xml:space="preserve">The selection is not a random sample of clinical CT and cannot be treated as one. Three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stages shape it. The metadata screen keeps abdominal, diagnostic, reconstructed series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moderate length, so unusual acquisitions are removed by construction. The probe requires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per-slice tube current recorded on every probed image and genuine modulation, which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excludes fixed-current protocols entirely and, as Section 3.3 shows, correlates with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manufacturer through what the archive retained. The collections themselves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oncological, so body habitus and organ appearance are those of a cancer population rather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than of a screening one. The direction of each effect can be stated even though its size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cannot: the cohort is biased towards modern modulated abdominal protocols on scanners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whose archived headers are complete, which is the population in which 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anatomy-weighted index is computable at all, and the availability fractions in Section 3.3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are therefore an upper bound on what a less selective cohort would yield.</w:t>
      </w:r>
    </w:p>
    <w:bookmarkEnd w:id="15"/>
    <w:bookmarkStart w:id="16" w:name="inclusion-criteria-and-header-probing"/>
    <w:p>
      <w:pPr>
        <w:pStyle w:val="Heading3"/>
      </w:pPr>
      <w:r>
        <w:t xml:space="preserve">2.2. Inclusion Criteria and Header Probing</w:t>
      </w:r>
    </w:p>
    <w:p>
      <w:pPr>
        <w:pStyle w:val="FirstParagraph"/>
      </w:pPr>
      <w:r>
        <w:t xml:space="preserve">Sixty-two surviving candidates were probed by fetching six image headers each and judged</w:t>
      </w:r>
      <w:r>
        <w:t xml:space="preserve"> </w:t>
      </w:r>
      <w:r>
        <w:t xml:space="preserve">on four requirements: per-slice tube current present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probed slice; that current</w:t>
      </w:r>
      <w:r>
        <w:t xml:space="preserve"> </w:t>
      </w:r>
      <w:r>
        <w:t xml:space="preserve">genuinely modulated (peak-to-peak over mean at least 0.02, so header rounding is not</w:t>
      </w:r>
      <w:r>
        <w:t xml:space="preserve"> </w:t>
      </w:r>
      <w:r>
        <w:t xml:space="preserve">mistaken for modulation); a defined Hounsfield rescale; and a reconstructed-image SOP</w:t>
      </w:r>
      <w:r>
        <w:t xml:space="preserve"> </w:t>
      </w:r>
      <w:r>
        <w:t xml:space="preserve">class with at least 40 slices spanning at least 120 mm. Forty series were kept, ten per</w:t>
      </w:r>
      <w:r>
        <w:t xml:space="preserve"> </w:t>
      </w:r>
      <w:r>
        <w:t xml:space="preserve">manufacturer.</w:t>
      </w:r>
    </w:p>
    <w:p>
      <w:pPr>
        <w:pStyle w:val="BodyText"/>
      </w:pPr>
      <w:r>
        <w:t xml:space="preserve">No imaging is redistributed. Each retained series is identified in the shipped provenance</w:t>
      </w:r>
      <w:r>
        <w:t xml:space="preserve"> </w:t>
      </w:r>
      <w:r>
        <w:t xml:space="preserve">record by collection, collection DOI, Series Instance UID, manufacturer, model, licence</w:t>
      </w:r>
      <w:r>
        <w:t xml:space="preserve"> </w:t>
      </w:r>
      <w:r>
        <w:t xml:space="preserve">and retrieval date. All forty series were retrieved under Creative Commons Attribution</w:t>
      </w:r>
      <w:r>
        <w:t xml:space="preserve"> </w:t>
      </w:r>
      <w:r>
        <w:t xml:space="preserve">licences — 33 under CC BY 4.0 and 7 under CC BY 3.0, as recorded per series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; users must in every case observe the licence terms of the</w:t>
      </w:r>
      <w:r>
        <w:t xml:space="preserve"> </w:t>
      </w:r>
      <w:r>
        <w:t xml:space="preserve">originating collection and the TCIA Data Usage Policy.</w:t>
      </w:r>
    </w:p>
    <w:bookmarkEnd w:id="16"/>
    <w:bookmarkStart w:id="17" w:name="resolving-the-slice-grid"/>
    <w:p>
      <w:pPr>
        <w:pStyle w:val="Heading3"/>
      </w:pPr>
      <w:r>
        <w:t xml:space="preserve">2.3. Resolving the Slice Grid</w:t>
      </w:r>
    </w:p>
    <w:p>
      <w:pPr>
        <w:pStyle w:val="FirstParagraph"/>
      </w:pPr>
      <w:r>
        <w:t xml:space="preserve">Organ volume is a voxel count multiplied by a voxel volume, so slice spacing multiplies</w:t>
      </w:r>
      <w:r>
        <w:t xml:space="preserve"> </w:t>
      </w:r>
      <w:r>
        <w:t xml:space="preserve">every volume and every mass estimate. Two properties of archived series make the obvious</w:t>
      </w:r>
      <w:r>
        <w:t xml:space="preserve"> </w:t>
      </w:r>
      <w:r>
        <w:t xml:space="preserve">calculation wrong, and both are silent.</w:t>
      </w:r>
    </w:p>
    <w:p>
      <w:pPr>
        <w:pStyle w:val="BodyText"/>
      </w:pPr>
      <w:r>
        <w:t xml:space="preserve">First, the file count is not always the position count. One series in this cohort contains</w:t>
      </w:r>
      <w:r>
        <w:t xml:space="preserve"> </w:t>
      </w:r>
      <w:r>
        <w:t xml:space="preserve">160 images at 119 distinct longitudinal positions; taking the spacing as the extent</w:t>
      </w:r>
      <w:r>
        <w:t xml:space="preserve"> </w:t>
      </w:r>
      <w:r>
        <w:t xml:space="preserve">divided by the number of images gives 3.71 mm where the true spacing is 5.0 mm, and</w:t>
      </w:r>
      <w:r>
        <w:t xml:space="preserve"> </w:t>
      </w:r>
      <w:r>
        <w:t xml:space="preserve">stacking the duplicated images repeats anatomy so that organs occupy more slices than they</w:t>
      </w:r>
      <w:r>
        <w:t xml:space="preserve"> </w:t>
      </w:r>
      <w:r>
        <w:t xml:space="preserve">physically do. We therefore resolve the grid explicitly: one image per position, spacing</w:t>
      </w:r>
      <w:r>
        <w:t xml:space="preserve"> </w:t>
      </w:r>
      <w:r>
        <w:t xml:space="preserve">from the median step between neighbouring positions, and a uniformity check that refuses a</w:t>
      </w:r>
      <w:r>
        <w:t xml:space="preserve"> </w:t>
      </w:r>
      <w:r>
        <w:t xml:space="preserve">series whose steps vary by more than 2%. Two series proved to be a pair of reconstructions</w:t>
      </w:r>
      <w:r>
        <w:t xml:space="preserve"> </w:t>
      </w:r>
      <w:r>
        <w:t xml:space="preserve">interleaved under a single Series Instance UID; for these the largest regular sub-grid was</w:t>
      </w:r>
      <w:r>
        <w:t xml:space="preserve"> </w:t>
      </w:r>
      <w:r>
        <w:t xml:space="preserve">taken, accepted only when it preserves the full longitudinal extent.</w:t>
      </w:r>
    </w:p>
    <w:p>
      <w:pPr>
        <w:pStyle w:val="BodyText"/>
      </w:pPr>
      <w:r>
        <w:t xml:space="preserve">Second, the ordering of the slice axis is not guaranteed. Slice Location (0020,1041) runs</w:t>
      </w:r>
      <w:r>
        <w:t xml:space="preserve"> </w:t>
      </w:r>
      <w:r>
        <w:t xml:space="preserve">opposite in sign to Image Position (Patient) on three of the four manufacturers in this</w:t>
      </w:r>
      <w:r>
        <w:t xml:space="preserve"> </w:t>
      </w:r>
      <w:r>
        <w:t xml:space="preserve">sample, so a series sorted by the former arrives head-first. The segmentation is</w:t>
      </w:r>
      <w:r>
        <w:t xml:space="preserve"> </w:t>
      </w:r>
      <w:r>
        <w:t xml:space="preserve">unaffected, because the geometry handed to the segmenter is built from patient</w:t>
      </w:r>
      <w:r>
        <w:t xml:space="preserve"> </w:t>
      </w:r>
      <w:r>
        <w:t xml:space="preserve">coordinates; but the array index ceases to mean</w:t>
      </w:r>
      <w:r>
        <w:t xml:space="preserve"> </w:t>
      </w:r>
      <w:r>
        <w:t xml:space="preserve">“towards the head”</w:t>
      </w:r>
      <w:r>
        <w:t xml:space="preserve">, which reverses every</w:t>
      </w:r>
      <w:r>
        <w:t xml:space="preserve"> </w:t>
      </w:r>
      <w:r>
        <w:t xml:space="preserve">reported organ extent. Volumes are therefore canonicalised so that index zero is the most</w:t>
      </w:r>
      <w:r>
        <w:t xml:space="preserve"> </w:t>
      </w:r>
      <w:r>
        <w:t xml:space="preserve">inferior slice, with the tube current reordered alongside, since</w:t>
      </w:r>
      <w:r>
        <w:t xml:space="preserve"> </w:t>
      </w:r>
      <w:r>
        <w:rPr>
          <w:i/>
          <w:iCs/>
        </w:rPr>
        <w:t xml:space="preserve">I(z)</w:t>
      </w:r>
      <w:r>
        <w:t xml:space="preserve"> </w:t>
      </w:r>
      <w:r>
        <w:t xml:space="preserve">is paired to the</w:t>
      </w:r>
      <w:r>
        <w:t xml:space="preserve"> </w:t>
      </w:r>
      <w:r>
        <w:t xml:space="preserve">slice axis by index.</w:t>
      </w:r>
    </w:p>
    <w:bookmarkEnd w:id="17"/>
    <w:bookmarkStart w:id="18" w:name="reading-hounsfield-units"/>
    <w:p>
      <w:pPr>
        <w:pStyle w:val="Heading3"/>
      </w:pPr>
      <w:r>
        <w:t xml:space="preserve">2.4. Reading Hounsfield Units</w:t>
      </w:r>
    </w:p>
    <w:p>
      <w:pPr>
        <w:pStyle w:val="FirstParagraph"/>
      </w:pPr>
      <w:r>
        <w:t xml:space="preserve">Outside the reconstruction circle an image carries a padding value rather than a</w:t>
      </w:r>
      <w:r>
        <w:t xml:space="preserve"> </w:t>
      </w:r>
      <w:r>
        <w:t xml:space="preserve">measurement, and that value must be replaced with air before anything is measured. Pixel</w:t>
      </w:r>
      <w:r>
        <w:t xml:space="preserve"> </w:t>
      </w:r>
      <w:r>
        <w:t xml:space="preserve">Padding Value (0028,0120) has a value representation that depends on Pixel Representation,</w:t>
      </w:r>
      <w:r>
        <w:t xml:space="preserve"> </w:t>
      </w:r>
      <w:r>
        <w:t xml:space="preserve">and this is not reliably honoured: in this sample one export writes 63,536 with an</w:t>
      </w:r>
      <w:r>
        <w:t xml:space="preserve"> </w:t>
      </w:r>
      <w:r>
        <w:t xml:space="preserve">unsigned representation on signed pixel data, which is the two’s complement encoding of</w:t>
      </w:r>
      <w:r>
        <w:t xml:space="preserve"> </w:t>
      </w:r>
      <w:r>
        <w:t xml:space="preserve">the −2000 intended. Read literally, that places the padding threshold above every</w:t>
      </w:r>
      <w:r>
        <w:t xml:space="preserve"> </w:t>
      </w:r>
      <w:r>
        <w:t xml:space="preserve">Hounsfield value in the image, and the volume becomes uniform air. Four series were</w:t>
      </w:r>
      <w:r>
        <w:t xml:space="preserve"> </w:t>
      </w:r>
      <w:r>
        <w:t xml:space="preserve">affected, with no symptom other than a segmenter returning empty masks. We reinterpret the</w:t>
      </w:r>
      <w:r>
        <w:t xml:space="preserve"> </w:t>
      </w:r>
      <w:r>
        <w:t xml:space="preserve">padding value against Pixel Representation, and additionally refuse any padding rule that</w:t>
      </w:r>
      <w:r>
        <w:t xml:space="preserve"> </w:t>
      </w:r>
      <w:r>
        <w:t xml:space="preserve">would blank essentially the whole image.</w:t>
      </w:r>
    </w:p>
    <w:bookmarkEnd w:id="18"/>
    <w:bookmarkStart w:id="19" w:name="segmentation"/>
    <w:p>
      <w:pPr>
        <w:pStyle w:val="Heading3"/>
      </w:pPr>
      <w:r>
        <w:t xml:space="preserve">2.5. Segmentation</w:t>
      </w:r>
    </w:p>
    <w:p>
      <w:pPr>
        <w:pStyle w:val="FirstParagraph"/>
      </w:pPr>
      <w:r>
        <w:rPr>
          <w:highlight w:val="yellow"/>
        </w:rPr>
        <w:t xml:space="preserve">Twelve abdominal organs were segmented with TotalSegmentator v2.17 [8],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total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task, 1.5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mm full-resolution model, at inference only; no weights were trained, modified 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redistributed.</w:t>
      </w:r>
    </w:p>
    <w:p>
      <w:pPr>
        <w:pStyle w:val="BodyText"/>
      </w:pPr>
      <w:r>
        <w:rPr>
          <w:highlight w:val="yellow"/>
        </w:rPr>
        <w:t xml:space="preserve">TotalSegmentator is an nnU-Net model [9]. nnU-Net is not a fixed architecture but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self-configuring pipeline: from the spacing, size and intensity distribution of a training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set it derives the patch size, the batch size, the pooling depth and the normalisation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scheme, and instantiates an encoder–decoder convolutional network of the U-Net family with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those settings. The self-configuration and its validation are examined further in [14]. The network used here is the three-dimensional full-resolution variant,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which processes overlapping patches of the volume and aggregates them with Gaussian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weighting, so that a voxel near a patch border is decided mainly by the patch in which it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sits centrally. The published model was trained on a corpus of computed tomography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covering 104 anatomical structures across a wide range of scanners, protocols and body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regions [8]; the twelve abdominal structures used here are a subset of its output classes.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Inference used the released weights with the default configuration, on one GPU, in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separate child process, because nnU-Net spawns its own worker processes and doing so from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long-lived parent leaks them on Windows.</w:t>
      </w:r>
    </w:p>
    <w:p>
      <w:pPr>
        <w:pStyle w:val="BodyText"/>
      </w:pPr>
      <w:r>
        <w:t xml:space="preserve">The series is written to NIfTI by our own code, with an affine constructed from the DICOM</w:t>
      </w:r>
      <w:r>
        <w:t xml:space="preserve"> </w:t>
      </w:r>
      <w:r>
        <w:t xml:space="preserve">patient coordinates, and the masks return on that same grid; the correspondence between</w:t>
      </w:r>
      <w:r>
        <w:t xml:space="preserve"> </w:t>
      </w:r>
      <w:r>
        <w:t xml:space="preserve">mask voxel and image voxel is therefore the identity by construction, and is asserted</w:t>
      </w:r>
      <w:r>
        <w:t xml:space="preserve"> </w:t>
      </w:r>
      <w:r>
        <w:t xml:space="preserve">rather than assumed. A mirrored segmentation would otherwise produce entirely plausible</w:t>
      </w:r>
      <w:r>
        <w:t xml:space="preserve"> </w:t>
      </w:r>
      <w:r>
        <w:t xml:space="preserve">volumes and Hounsfield values while pairing every organ with the wrong anatomy.</w:t>
      </w:r>
    </w:p>
    <w:p>
      <w:pPr>
        <w:pStyle w:val="BodyText"/>
      </w:pPr>
      <w:r>
        <w:rPr>
          <w:highlight w:val="yellow"/>
        </w:rPr>
        <w:t xml:space="preserve">The patient outline, used for the water-equivalent diameter, was taken from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deterministic threshold contour following AAPM Report 220 [15]. Figure 2 illustrates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segmentation output and its correspondence with the CT anatomy in the representative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acquisition used for the end-to-end example.</w:t>
      </w:r>
    </w:p>
    <w:bookmarkEnd w:id="19"/>
    <w:bookmarkStart w:id="20" w:name="segmentation-quality-control"/>
    <w:p>
      <w:pPr>
        <w:pStyle w:val="Heading3"/>
      </w:pPr>
      <w:r>
        <w:t xml:space="preserve">2.6. Segmentation Quality Control</w:t>
      </w:r>
    </w:p>
    <w:p>
      <w:pPr>
        <w:pStyle w:val="FirstParagraph"/>
      </w:pPr>
      <w:r>
        <w:rPr>
          <w:highlight w:val="yellow"/>
        </w:rPr>
        <w:t xml:space="preserve">No mask was manually corrected, and none was used without being checked. Two procedures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were applied to every series, both automated in the first instance and one of them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followed by direct inspection of the images.</w:t>
      </w:r>
    </w:p>
    <w:p>
      <w:pPr>
        <w:pStyle w:val="BodyText"/>
      </w:pPr>
      <w:r>
        <w:rPr>
          <w:highlight w:val="yellow"/>
        </w:rPr>
        <w:t xml:space="preserve">The first is a set of anatomical assertions run over the completed record of all 40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series. They test properties that a correct segmentation cannot violate and an incorrect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one violates conspicuously: that the left-sided organ of each pair lies on the patient’s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left; that the adrenal gland lies superior to the kidney on the same side; that each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organ’s attenuation-derived mass falls inside a plausibility band around its ICRP 89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value [10]; and that the organ modulation weights vary between organs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bracket the scan mean, which they must if the weighting is being applied at all to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modulated acquisition. The first two are tripwires for the failure modes that leave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other trace — a mirrored volume, or an inverted head–foot ordering — because both produce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masks whose volumes and Hounsfield statistics look entirely ordinary.</w:t>
      </w:r>
    </w:p>
    <w:p>
      <w:pPr>
        <w:pStyle w:val="BodyText"/>
      </w:pPr>
      <w:r>
        <w:rPr>
          <w:highlight w:val="yellow"/>
        </w:rPr>
        <w:t xml:space="preserve">14 of the 40 series raised at least one flag, 28 flags in all. None was a laterality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failure and none was an inversion. The flags divide into four kinds. 10 were the weights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failing to bracket the scan mean, which the check itself reports as expected when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acquisition extends beyond the abdomen: in a chest–abdomen–pelvis series the scan mean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includes regions no abdominal organ occupies, and the abdominal weights then sit to 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side of it. 15 were organ masses outside the plausibility band. Two were the organ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weights not varying between organs, which occurs when the tube current is effectively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constant over the abdominal extent rather than when the weighting has failed; those series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are separately excluded from the quantitative analysis by the acquisition-constancy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criterion of Section 2.10. One was a borderline superior–inferior ordering, an adrenal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kidney centroid separated by five voxels on a series where the two structures abut.</w:t>
      </w:r>
    </w:p>
    <w:p>
      <w:pPr>
        <w:pStyle w:val="BodyText"/>
      </w:pPr>
      <w:r>
        <w:rPr>
          <w:highlight w:val="yellow"/>
        </w:rPr>
        <w:t xml:space="preserve">The second procedure addresses the mass flags, because an organ mass far from its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value has two explanations that are indistinguishable in a table: a patient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whose organ really is that size, and a mask that has leaked into neighbouring tissue. Only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image separates them. The organs furthest from their reference mass were rendered 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contours over their own CT at three levels each, with laterality and slice index annotated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 every panel, and inspected. The most extreme case in the cohort — a spleen of 671 g,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4.5 times the ICRP 89 reference — is a clean segmentation of a genuinely enlarged spleen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a renal-carcinoma patient, the contour following the organ boundary at every level over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homogeneous parenchyma. The cohort is drawn from oncological collections, in which organ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enlargement is common; a plausibility band built on reference values for a healthy adult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therefore expected to flag real anatomy, and does.</w:t>
      </w:r>
    </w:p>
    <w:p>
      <w:pPr>
        <w:pStyle w:val="BodyText"/>
      </w:pPr>
      <w:r>
        <w:rPr>
          <w:highlight w:val="yellow"/>
        </w:rPr>
        <w:t xml:space="preserve">Segmentation error enters the index through one channel only, and it is not the channel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intuition suggests. The weight is the mean tube current over the organ’s longitudinal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extent, relative to the scan mean, so an error that moves the superior or inferior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boundary of an organ changes which slices contribute and moves the weight. An error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in-plane boundary at unchanged longitudinal extent does not: the same slices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averaged, with the same tube current on each. The quantity is therefore insensitive to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kind of boundary error that dominates segmentation metrics such as the Dice coefficient,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sensitive to a kind those metrics weight lightly. This is stated as a property of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construction rather than as a measured sensitivity, which the present cohort — with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manually corrected reference — cannot supply.</w:t>
      </w:r>
    </w:p>
    <w:bookmarkEnd w:id="20"/>
    <w:bookmarkStart w:id="21" w:name="attenuation-derived-estimated-organ-mass"/>
    <w:p>
      <w:pPr>
        <w:pStyle w:val="Heading3"/>
      </w:pPr>
      <w:r>
        <w:t xml:space="preserve">2.7. Attenuation-Derived Estimated Organ Mass</w:t>
      </w:r>
    </w:p>
    <w:p>
      <w:pPr>
        <w:pStyle w:val="FirstParagraph"/>
      </w:pPr>
      <w:r>
        <w:rPr>
          <w:highlight w:val="yellow"/>
        </w:rPr>
        <w:t xml:space="preserve">Hounsfield units were converted to mass density by piecewise-linear interpolation through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tissue anchor points, taking the densities from ICRU Report 44 [16] and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construction from Schneider et al. [17]. Estimated organ mass is the sum of local density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over mask voxels multiplied by the voxel volume.</w:t>
      </w:r>
    </w:p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model-based estimates, not measurements</w:t>
      </w:r>
      <w:r>
        <w:t xml:space="preserve">. Contrast enhancement, tube voltage,</w:t>
      </w:r>
      <w:r>
        <w:t xml:space="preserve"> </w:t>
      </w:r>
      <w:r>
        <w:t xml:space="preserve">reconstruction kernel and scanner-specific HU calibration may all affect</w:t>
      </w:r>
      <w:r>
        <w:t xml:space="preserve"> </w:t>
      </w:r>
      <w:r>
        <w:t xml:space="preserve">attenuation-derived density estimates, and none was controlled in this archive cohort:</w:t>
      </w:r>
      <w:r>
        <w:t xml:space="preserve"> </w:t>
      </w:r>
      <w:r>
        <w:t xml:space="preserve">contrast phase in particular varies between and within collections. The reported masses</w:t>
      </w:r>
      <w:r>
        <w:t xml:space="preserve"> </w:t>
      </w:r>
      <w:r>
        <w:t xml:space="preserve">should therefore be interpreted as model-based estimates rather than physical ground</w:t>
      </w:r>
      <w:r>
        <w:t xml:space="preserve"> </w:t>
      </w:r>
      <w:r>
        <w:t xml:space="preserve">truth. The HU-to-density curve itself is replaceable and travels into the provenance of</w:t>
      </w:r>
      <w:r>
        <w:t xml:space="preserve"> </w:t>
      </w:r>
      <w:r>
        <w:t xml:space="preserve">every estimate; abdominal soft tissue is relatively insensitive to the choice, since</w:t>
      </w:r>
      <w:r>
        <w:t xml:space="preserve"> </w:t>
      </w:r>
      <w:r>
        <w:t xml:space="preserve">perturbing the water-to-muscle slope by 10% changes an abdominal organ-mass estimate by</w:t>
      </w:r>
      <w:r>
        <w:t xml:space="preserve"> </w:t>
      </w:r>
      <w:r>
        <w:t xml:space="preserve">less than 1%.</w:t>
      </w:r>
    </w:p>
    <w:bookmarkEnd w:id="21"/>
    <w:bookmarkStart w:id="22" w:name="the-anatomy-weighted-ctdivol-index"/>
    <w:p>
      <w:pPr>
        <w:pStyle w:val="Heading3"/>
      </w:pPr>
      <w:r>
        <w:t xml:space="preserve">2.8. The Anatomy-Weighted CTDIvol Index</w:t>
      </w:r>
    </w:p>
    <w:p>
      <w:pPr>
        <w:pStyle w:val="FirstParagraph"/>
      </w:pPr>
      <w:r>
        <w:rPr>
          <w:highlight w:val="yellow"/>
        </w:rPr>
        <w:t xml:space="preserve">Let an organ</w:t>
      </w:r>
      <w:r>
        <w:rPr>
          <w:highlight w:val="yellow"/>
        </w:rPr>
        <w:t xml:space="preserve"> </w:t>
      </w:r>
      <m:oMath>
        <m:r>
          <m:t>o</m:t>
        </m:r>
      </m:oMath>
      <w:r>
        <w:rPr>
          <w:highlight w:val="yellow"/>
        </w:rPr>
        <w:t xml:space="preserve"> </w:t>
      </w:r>
      <w:r>
        <w:rPr>
          <w:highlight w:val="yellow"/>
        </w:rPr>
        <w:t xml:space="preserve">occupy slices</w:t>
      </w:r>
      <w:r>
        <w:rPr>
          <w:highlight w:val="yellow"/>
        </w:rPr>
        <w:t xml:space="preserve"> </w:t>
      </w:r>
      <m:oMath>
        <m:r>
          <m:t>z</m:t>
        </m:r>
      </m:oMath>
      <w:r>
        <w:rPr>
          <w:highlight w:val="yellow"/>
        </w:rPr>
        <w:t xml:space="preserve"> </w:t>
      </w:r>
      <w:r>
        <w:rPr>
          <w:highlight w:val="yellow"/>
        </w:rPr>
        <w:t xml:space="preserve">with per-slice voxel counts</w:t>
      </w:r>
      <w:r>
        <w:rPr>
          <w:highlight w:val="yellow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highlight w:val="yellow"/>
        </w:rPr>
        <w:t xml:space="preserve">, and let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series carry per-slice tube current</w:t>
      </w:r>
      <w:r>
        <w:rPr>
          <w:highlight w:val="yellow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highlight w:val="yellow"/>
        </w:rPr>
        <w:t xml:space="preserve"> </w:t>
      </w:r>
      <w:r>
        <w:rPr>
          <w:highlight w:val="yellow"/>
        </w:rPr>
        <w:t xml:space="preserve">over its</w:t>
      </w:r>
      <w:r>
        <w:rPr>
          <w:highlight w:val="yellow"/>
        </w:rPr>
        <w:t xml:space="preserve"> </w:t>
      </w:r>
      <m:oMath>
        <m:r>
          <m:t>N</m:t>
        </m:r>
      </m:oMath>
      <w:r>
        <w:rPr>
          <w:highlight w:val="yellow"/>
        </w:rPr>
        <w:t xml:space="preserve"> </w:t>
      </w:r>
      <w:r>
        <w:rPr>
          <w:highlight w:val="yellow"/>
        </w:rPr>
        <w:t xml:space="preserve">images. The numerator of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organ-specific modulation weight is the voxel-weighted mean tube current over the organ’s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own longitudinal extent,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z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highlight w:val="yellow"/>
        </w:rPr>
        <w:t xml:space="preserve">which weights each slice by how much of the organ it contains, so a slice through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widest part of the liver counts for more than one clipping its dome. The denominator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mean over the whole series,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I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z</m:t>
              </m:r>
            </m:sub>
            <m:sup>
              <m:r>
                <m:t>​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highlight w:val="yellow"/>
        </w:rPr>
        <w:t xml:space="preserve">and the weight and the index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</m:num>
            <m:den>
              <m:acc>
                <m:accPr>
                  <m:chr m:val="‾"/>
                </m:accPr>
                <m:e>
                  <m:r>
                    <m:t>I</m:t>
                  </m:r>
                </m:e>
              </m:acc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C</m:t>
          </m:r>
          <m:r>
            <m:rPr>
              <m:sty m:val="p"/>
            </m:rPr>
            <m:t>T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v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highlight w:val="yellow"/>
        </w:rPr>
        <w:t xml:space="preserve">The weight is dimensionless and is the transferable quantity: it expresses the recorded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longitudinal tube-current conditions over the organ relative to the scan mean,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independently of the scanner’s own output. A weight of unity means the organ lay where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tube current happened to equal the scan average; the departure from unity is what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single whole-scan value cannot carry.</w:t>
      </w:r>
    </w:p>
    <w:p>
      <w:pPr>
        <w:pStyle w:val="BodyText"/>
      </w:pPr>
      <w:r>
        <w:t xml:space="preserve">The weighting assumes that, within each series, tube voltage, rotation or exposure time,</w:t>
      </w:r>
      <w:r>
        <w:t xml:space="preserve"> </w:t>
      </w:r>
      <w:r>
        <w:t xml:space="preserve">pitch and beam collimation remain fixed, so that longitudinal changes in scanner output</w:t>
      </w:r>
      <w:r>
        <w:t xml:space="preserve"> </w:t>
      </w:r>
      <w:r>
        <w:t xml:space="preserve">are proportional to the recorded tube current.</w:t>
      </w:r>
    </w:p>
    <w:bookmarkEnd w:id="22"/>
    <w:bookmarkStart w:id="23" w:name="the-acquisition-constancy-criterion"/>
    <w:p>
      <w:pPr>
        <w:pStyle w:val="Heading3"/>
      </w:pPr>
      <w:r>
        <w:t xml:space="preserve">2.9. The Acquisition-Constancy Criterion</w:t>
      </w:r>
    </w:p>
    <w:p>
      <w:pPr>
        <w:pStyle w:val="FirstParagraph"/>
      </w:pPr>
      <w:r>
        <w:t xml:space="preserve">We formalised this assumption as a rule-based eligibility criterion and applied it</w:t>
      </w:r>
      <w:r>
        <w:t xml:space="preserve"> </w:t>
      </w:r>
      <w:r>
        <w:t xml:space="preserve">mechanically:</w:t>
      </w:r>
    </w:p>
    <w:p>
      <w:pPr>
        <w:pStyle w:val="BlockText"/>
      </w:pPr>
      <w:r>
        <w:t xml:space="preserve">A series is eligible for quantitative anatomy-weighted CTDIvol analysis only when the</w:t>
      </w:r>
      <w:r>
        <w:t xml:space="preserve"> </w:t>
      </w:r>
      <w:r>
        <w:t xml:space="preserve">acquisition parameters required for scanner output to remain proportional to the</w:t>
      </w:r>
      <w:r>
        <w:t xml:space="preserve"> </w:t>
      </w:r>
      <w:r>
        <w:t xml:space="preserve">recorded tube current are constant within that series, to the extent verifiable from the</w:t>
      </w:r>
      <w:r>
        <w:t xml:space="preserve"> </w:t>
      </w:r>
      <w:r>
        <w:t xml:space="preserve">archived DICOM headers.</w:t>
      </w:r>
    </w:p>
    <w:p>
      <w:pPr>
        <w:pStyle w:val="FirstParagraph"/>
      </w:pPr>
      <w:r>
        <w:rPr>
          <w:highlight w:val="yellow"/>
        </w:rPr>
        <w:t xml:space="preserve">Every slice header of every series was read and each output-governing attribute — tube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voltage, exposure time, rotation time, pitch and total collimation width — classified into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one of four states.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Verified constant</w:t>
      </w:r>
      <w:r>
        <w:rPr>
          <w:highlight w:val="yellow"/>
        </w:rPr>
        <w:t xml:space="preserve">: one value throughout.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Absent</w:t>
      </w:r>
      <w:r>
        <w:rPr>
          <w:highlight w:val="yellow"/>
        </w:rPr>
        <w:t xml:space="preserve">: never written to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archived headers, so constancy can be neither confirmed nor refuted; absence alone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does not disqualify a series, since excluding on it would remove series for a property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de-identified export rather than of the acquisition.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Negligible variation</w:t>
      </w:r>
      <w:r>
        <w:rPr>
          <w:highlight w:val="yellow"/>
        </w:rPr>
        <w:t xml:space="preserve">: varying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by less than a relative tolerance of 0.02, attributable to the numeric representation —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exposure time is written as an integer number of milliseconds, so a one-unit step on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value of a few hundred is a rounding artefact.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Materially variable</w:t>
      </w:r>
      <w:r>
        <w:rPr>
          <w:highlight w:val="yellow"/>
        </w:rPr>
        <w:t xml:space="preserve">: varying by at least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that tolerance, which disqualifies the series.</w:t>
      </w:r>
    </w:p>
    <w:p>
      <w:pPr>
        <w:pStyle w:val="BodyText"/>
      </w:pPr>
      <w:r>
        <w:rPr>
          <w:highlight w:val="yellow"/>
        </w:rPr>
        <w:t xml:space="preserve">The value of 2% follows from those two scales rather than from the data. Below it lies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representation: at the 400–700 ms exposure times these acquisitions use, the integer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millisecond step alone moves a value by up to about 0.25%, and 2% sits an order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magnitude above that. Above it lies the smallest change of technique that can actually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occur, since rotation time is switched in discrete steps and the smallest of those halves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 doubles it — a change of 100%. The threshold therefore separates two regimes that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two orders of magnitude apart, and is not fitted to these data: any value between roughly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1% and 50% classifies this cohort identically, because the only material variation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observed is a factor of two.</w:t>
      </w:r>
    </w:p>
    <w:p>
      <w:pPr>
        <w:pStyle w:val="BodyText"/>
      </w:pPr>
      <w:r>
        <w:t xml:space="preserve">Tube voltage was verified constant in all 40 series, as were Image Type and convolution</w:t>
      </w:r>
      <w:r>
        <w:t xml:space="preserve"> </w:t>
      </w:r>
      <w:r>
        <w:t xml:space="preserve">kernel, so no series mixes acquisition or reconstruction types. Exposure time was verified</w:t>
      </w:r>
      <w:r>
        <w:t xml:space="preserve"> </w:t>
      </w:r>
      <w:r>
        <w:t xml:space="preserve">constant in 35 series, negligibly variable in 3, materially variable in 1 and absent in 1;</w:t>
      </w:r>
      <w:r>
        <w:t xml:space="preserve"> </w:t>
      </w:r>
      <w:r>
        <w:t xml:space="preserve">rotation time verified constant in 20, materially variable in 1 and absent in 19; pitch</w:t>
      </w:r>
      <w:r>
        <w:t xml:space="preserve"> </w:t>
      </w:r>
      <w:r>
        <w:t xml:space="preserve">verified constant in 32 and absent in 8; total collimation width verified constant in 31</w:t>
      </w:r>
      <w:r>
        <w:t xml:space="preserve"> </w:t>
      </w:r>
      <w:r>
        <w:t xml:space="preserve">and absent in 9. The full record is shipped as</w:t>
      </w:r>
      <w:r>
        <w:t xml:space="preserve"> </w:t>
      </w:r>
      <w:r>
        <w:rPr>
          <w:rStyle w:val="VerbatimChar"/>
        </w:rPr>
        <w:t xml:space="preserve">results/acquisition_constancy.json</w:t>
      </w:r>
      <w:r>
        <w:t xml:space="preserve"> </w:t>
      </w:r>
      <w:r>
        <w:t xml:space="preserve">and</w:t>
      </w:r>
      <w:r>
        <w:t xml:space="preserve"> </w:t>
      </w:r>
      <w:r>
        <w:t xml:space="preserve">the eligibility decision for every series in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p>
      <w:pPr>
        <w:pStyle w:val="BodyText"/>
      </w:pPr>
      <w:r>
        <w:t xml:space="preserve">Series failing the criterion are retained for the archive-availability, segmentation,</w:t>
      </w:r>
      <w:r>
        <w:t xml:space="preserve"> </w:t>
      </w:r>
      <w:r>
        <w:t xml:space="preserve">estimated-mass and provenance analyses, and excluded only from quantitative</w:t>
      </w:r>
      <w:r>
        <w:t xml:space="preserve"> </w:t>
      </w:r>
      <w:r>
        <w:t xml:space="preserve">modulation-weight and anatomy-weighted-index summaries.</w:t>
      </w:r>
    </w:p>
    <w:p>
      <w:pPr>
        <w:pStyle w:val="BodyText"/>
      </w:pPr>
      <w:r>
        <w:rPr>
          <w:highlight w:val="yellow"/>
        </w:rPr>
        <w:t xml:space="preserve">CTDIvol was taken from the image header (0018,9345) where present. Where absent, it was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reconstructed from acquisition physics against an openly licensed normalised-CTDI database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[18]; recorded and reconstructed values are never merged, and each series records which it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carries. A recorded value outside the physically possible range is treated as a corrupt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attribute and falls through to reconstruction — one series records CTDIvol 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−3.7 × 10^19 mGy.</w:t>
      </w:r>
    </w:p>
    <w:p>
      <w:pPr>
        <w:pStyle w:val="BodyText"/>
      </w:pPr>
      <w:r>
        <w:t xml:space="preserve">An organ whose mask reaches the first or last slice of the series continues beyond the</w:t>
      </w:r>
      <w:r>
        <w:t xml:space="preserve"> </w:t>
      </w:r>
      <w:r>
        <w:t xml:space="preserve">scan; its estimated mass is that of the scanned part and its weight describes only the</w:t>
      </w:r>
      <w:r>
        <w:t xml:space="preserve"> </w:t>
      </w:r>
      <w:r>
        <w:t xml:space="preserve">exposed part. Such organs are flagged and excluded from whole-organ comparisons.</w:t>
      </w:r>
    </w:p>
    <w:bookmarkEnd w:id="23"/>
    <w:bookmarkStart w:id="24" w:name="organ-record-flow"/>
    <w:p>
      <w:pPr>
        <w:pStyle w:val="Heading3"/>
      </w:pPr>
      <w:r>
        <w:t xml:space="preserve">2.10. Organ Record Flow</w:t>
      </w:r>
    </w:p>
    <w:p>
      <w:pPr>
        <w:pStyle w:val="FirstParagraph"/>
      </w:pPr>
      <w:r>
        <w:t xml:space="preserve">Forty series and twelve requested organs give 480 organ–series combinations. Records were</w:t>
      </w:r>
      <w:r>
        <w:t xml:space="preserve"> </w:t>
      </w:r>
      <w:r>
        <w:t xml:space="preserve">produced for 455. The remaining 25 are organs that lay outside the scanned longitudinal</w:t>
      </w:r>
      <w:r>
        <w:t xml:space="preserve"> </w:t>
      </w:r>
      <w:r>
        <w:t xml:space="preserve">range, so their masks were empty and no record exists: urinary bladder in 10 series,</w:t>
      </w:r>
      <w:r>
        <w:t xml:space="preserve"> </w:t>
      </w:r>
      <w:r>
        <w:t xml:space="preserve">gallbladder in 8, and seven further organs in a single 41-slice pelvic acquisition that</w:t>
      </w:r>
      <w:r>
        <w:t xml:space="preserve"> </w:t>
      </w:r>
      <w:r>
        <w:t xml:space="preserve">does not reach the upper abdomen.</w:t>
      </w:r>
    </w:p>
    <w:p>
      <w:pPr>
        <w:pStyle w:val="BodyText"/>
      </w:pPr>
      <w:r>
        <w:t xml:space="preserve">Two further conditions apply to the 455 records, and they are</w:t>
      </w:r>
      <w:r>
        <w:t xml:space="preserve"> </w:t>
      </w:r>
      <w:r>
        <w:rPr>
          <w:b/>
          <w:bCs/>
        </w:rPr>
        <w:t xml:space="preserve">independent axes rather</w:t>
      </w:r>
      <w:r>
        <w:rPr>
          <w:b/>
          <w:bCs/>
        </w:rPr>
        <w:t xml:space="preserve"> </w:t>
      </w:r>
      <w:r>
        <w:rPr>
          <w:b/>
          <w:bCs/>
        </w:rPr>
        <w:t xml:space="preserve">than nested subsets</w:t>
      </w:r>
      <w:r>
        <w:t xml:space="preserve">. Truncation is a property of the organ: 408 records are untruncated</w:t>
      </w:r>
      <w:r>
        <w:t xml:space="preserve"> </w:t>
      </w:r>
      <w:r>
        <w:t xml:space="preserve">and 47 reach a scan boundary. Index availability is a property of the series: before</w:t>
      </w:r>
      <w:r>
        <w:t xml:space="preserve"> </w:t>
      </w:r>
      <w:r>
        <w:t xml:space="preserve">application of the acquisition-constancy criterion, 386 records from 34 series had a</w:t>
      </w:r>
      <w:r>
        <w:t xml:space="preserve"> </w:t>
      </w:r>
      <w:r>
        <w:t xml:space="preserve">recorded or reconstructed CTDIvol and were computationally capable of carrying an index,</w:t>
      </w:r>
      <w:r>
        <w:t xml:space="preserve"> </w:t>
      </w:r>
      <w:r>
        <w:t xml:space="preserve">while the remaining 69 records, from 6 series, carry a modulation weight but no index</w:t>
      </w:r>
      <w:r>
        <w:t xml:space="preserve"> </w:t>
      </w:r>
      <w:r>
        <w:t xml:space="preserve">because those series have no CTDIvol by either route. The two conditions hold together for</w:t>
      </w:r>
      <w:r>
        <w:t xml:space="preserve"> </w:t>
      </w:r>
      <w:r>
        <w:t xml:space="preserve">345 records; 41 truncated records still carry an index, and 63 untruncated records do not.</w:t>
      </w:r>
    </w:p>
    <w:p>
      <w:pPr>
        <w:pStyle w:val="BodyText"/>
      </w:pPr>
      <w:r>
        <w:t xml:space="preserve">After exclusion of the one materially variable series, 375 records from 33 series were</w:t>
      </w:r>
      <w:r>
        <w:t xml:space="preserve"> </w:t>
      </w:r>
      <w:r>
        <w:t xml:space="preserve">eligible for the quantitative anatomy-weighted-index analysis; the 11 excluded records</w:t>
      </w:r>
      <w:r>
        <w:t xml:space="preserve"> </w:t>
      </w:r>
      <w:r>
        <w:t xml:space="preserve">belong to that series. The external reference-mass comparison, which does not depend on</w:t>
      </w:r>
      <w:r>
        <w:t xml:space="preserve"> </w:t>
      </w:r>
      <w:r>
        <w:t xml:space="preserve">the modulation weighting, uses the 177 untruncated records of the five solid organs across</w:t>
      </w:r>
      <w:r>
        <w:t xml:space="preserve"> </w:t>
      </w:r>
      <w:r>
        <w:t xml:space="preserve">the whole cohort. The full flow is in the shipped</w:t>
      </w:r>
      <w:r>
        <w:t xml:space="preserve"> </w:t>
      </w:r>
      <w:r>
        <w:rPr>
          <w:rStyle w:val="VerbatimChar"/>
        </w:rPr>
        <w:t xml:space="preserve">results/analysis_1.5mm.json</w:t>
      </w:r>
      <w:r>
        <w:t xml:space="preserve">.</w:t>
      </w:r>
    </w:p>
    <w:bookmarkEnd w:id="24"/>
    <w:bookmarkStart w:id="25" w:name="Xac99610bd1667e2236e31b4cc065aa132b167b5"/>
    <w:p>
      <w:pPr>
        <w:pStyle w:val="Heading3"/>
      </w:pPr>
      <w:r>
        <w:t xml:space="preserve">2.11. What the Index Does and Does Not Represent</w:t>
      </w:r>
    </w:p>
    <w:p>
      <w:pPr>
        <w:pStyle w:val="FirstParagraph"/>
      </w:pPr>
      <w:r>
        <w:t xml:space="preserve">The anatomy-weighted CTDIvol index describes organ-specific</w:t>
      </w:r>
      <w:r>
        <w:t xml:space="preserve"> </w:t>
      </w:r>
      <w:r>
        <w:rPr>
          <w:i/>
          <w:iCs/>
        </w:rPr>
        <w:t xml:space="preserve">longitudinal</w:t>
      </w:r>
      <w:r>
        <w:t xml:space="preserve"> </w:t>
      </w:r>
      <w:r>
        <w:t xml:space="preserve">tube-current</w:t>
      </w:r>
      <w:r>
        <w:t xml:space="preserve"> </w:t>
      </w:r>
      <w:r>
        <w:t xml:space="preserve">modulation relative to the whole-scan CTDIvol. It does not account for scattered</w:t>
      </w:r>
      <w:r>
        <w:t xml:space="preserve"> </w:t>
      </w:r>
      <w:r>
        <w:t xml:space="preserve">radiation; irradiation originating outside the organ’s segmented longitudinal extent;</w:t>
      </w:r>
      <w:r>
        <w:t xml:space="preserve"> </w:t>
      </w:r>
      <w:r>
        <w:t xml:space="preserve">angular (in-plane) tube-current modulation; organ depth, position or attenuation;</w:t>
      </w:r>
      <w:r>
        <w:t xml:space="preserve"> </w:t>
      </w:r>
      <w:r>
        <w:t xml:space="preserve">patient-specific Monte-Carlo radiation transport; or absorbed organ dose in milligray. It</w:t>
      </w:r>
      <w:r>
        <w:t xml:space="preserve"> </w:t>
      </w:r>
      <w:r>
        <w:t xml:space="preserve">is therefore not a surrogate for absorbed organ dose and must not be read as one. What it</w:t>
      </w:r>
      <w:r>
        <w:t xml:space="preserve"> </w:t>
      </w:r>
      <w:r>
        <w:t xml:space="preserve">does provide is a dimensionless, patient-specific, organ-specific measure of longitudinal</w:t>
      </w:r>
      <w:r>
        <w:t xml:space="preserve"> </w:t>
      </w:r>
      <w:r>
        <w:t xml:space="preserve">modulation, and a derived index in the units of the parent CTDIvol.</w:t>
      </w:r>
    </w:p>
    <w:bookmarkEnd w:id="25"/>
    <w:bookmarkStart w:id="26" w:name="verification-and-reproducibility"/>
    <w:p>
      <w:pPr>
        <w:pStyle w:val="Heading3"/>
      </w:pPr>
      <w:r>
        <w:t xml:space="preserve">2.12. Verification and Reproducibility</w:t>
      </w:r>
    </w:p>
    <w:p>
      <w:pPr>
        <w:pStyle w:val="FirstParagraph"/>
      </w:pPr>
      <w:r>
        <w:t xml:space="preserve">Every series is screened against facts of gross anatomy that hold for any adult: the left</w:t>
      </w:r>
      <w:r>
        <w:t xml:space="preserve"> </w:t>
      </w:r>
      <w:r>
        <w:t xml:space="preserve">kidney lies to the patient’s left of the right kidney and the spleen to the left of the</w:t>
      </w:r>
      <w:r>
        <w:t xml:space="preserve"> </w:t>
      </w:r>
      <w:r>
        <w:t xml:space="preserve">liver; the liver lies superior to the bladder and the adrenal glands superior to the</w:t>
      </w:r>
      <w:r>
        <w:t xml:space="preserve"> </w:t>
      </w:r>
      <w:r>
        <w:t xml:space="preserve">kidneys; solid-organ mass estimates fall within a wide band of reference values; and the</w:t>
      </w:r>
      <w:r>
        <w:t xml:space="preserve"> </w:t>
      </w:r>
      <w:r>
        <w:t xml:space="preserve">organ weights vary within a series. These screens exist because the failures they catch</w:t>
      </w:r>
      <w:r>
        <w:t xml:space="preserve"> </w:t>
      </w:r>
      <w:r>
        <w:t xml:space="preserve">leave no other trace.</w:t>
      </w:r>
    </w:p>
    <w:p>
      <w:pPr>
        <w:pStyle w:val="BodyText"/>
      </w:pPr>
      <w:r>
        <w:rPr>
          <w:highlight w:val="yellow"/>
        </w:rPr>
        <w:t xml:space="preserve">Analyses were run with Python 3.14 (the package supports 3.10 and later), TotalSegmentator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v2.17 (</w:t>
      </w:r>
      <w:r>
        <w:rPr>
          <w:rStyle w:val="VerbatimChar"/>
          <w:highlight w:val="yellow"/>
        </w:rPr>
        <w:t xml:space="preserve">total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task, 1.5 mm full-resolution model) on PyTorch 2.11 with CUDA 12.8, pydicom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3.0 and NumPy 2.5, using an NVIDIA RTX 3080. Every reported value is re-derived from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per-series records by the test suite, including regenerating the complete analysis table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comparing it. The pipeline is organised in four layers — acquisition, organ record,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analysis and figures — each regenerated by a single command and each writing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machine-readable record that the next layer reads; the acquisition-parameter check 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Section 2.9 is a fifth, run over the completed records. Figure 1 gives the stages,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count surviving each, and the verification step attached to each. The repository, its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release tag, commit hash and archived version DOI are given in the Data Availability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Statement, and the command for each layer is in its README rather than here.</w:t>
      </w:r>
    </w:p>
    <w:bookmarkEnd w:id="26"/>
    <w:bookmarkEnd w:id="27"/>
    <w:bookmarkStart w:id="49" w:name="results"/>
    <w:p>
      <w:pPr>
        <w:pStyle w:val="Heading2"/>
      </w:pPr>
      <w:r>
        <w:t xml:space="preserve">3. Results</w:t>
      </w:r>
    </w:p>
    <w:bookmarkStart w:id="31" w:name="cohort-and-records"/>
    <w:p>
      <w:pPr>
        <w:pStyle w:val="Heading3"/>
      </w:pPr>
      <w:r>
        <w:t xml:space="preserve">3.1. Cohort and Records</w:t>
      </w:r>
    </w:p>
    <w:p>
      <w:pPr>
        <w:pStyle w:val="FirstParagraph"/>
      </w:pPr>
      <w:r>
        <w:rPr>
          <w:highlight w:val="yellow"/>
        </w:rPr>
        <w:t xml:space="preserve">Forty series were analysed — ten from each of GE, Siemens, Canon/Toshiba and Philips —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drawn from 21 collections and 23 scanner models. Of 480 organ–series combinations, 455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organ records were produced across 12 organs, with the flow as given in Section 2.10.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Figure 2 shows the segmentation output for a representative acquisition.</w:t>
      </w:r>
    </w:p>
    <w:p>
      <w:pPr>
        <w:pStyle w:val="BodyText"/>
      </w:pPr>
      <w:r>
        <w:rPr>
          <w:highlight w:val="yellow"/>
        </w:rPr>
        <w:t xml:space="preserve">Of the 40 segmented series, 39 met the acquisition-constancy criterion of Section 2.9. One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archived GE series contained two blocks with different exposure and rotation times; it was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retained for the segmentation, estimated-mass and archive-availability analyses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excluded from the modulation-weight and anatomy-weighted-index summaries. The quantitative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modulation analysis therefore rests on 375 organ records from the 33 eligible series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also carry a CTDIvol.</w:t>
      </w:r>
    </w:p>
    <w:p>
      <w:pPr>
        <w:pStyle w:val="BodyText"/>
      </w:pPr>
      <w:r>
        <w:drawing>
          <wp:inline>
            <wp:extent cx="4957010" cy="578432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es/fig2_segmenta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7010" cy="5784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2.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Representative TotalSegmentator output from one abdominal CT series used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analysis. (</w:t>
      </w:r>
      <w:r>
        <w:rPr>
          <w:b/>
          <w:bCs/>
          <w:highlight w:val="yellow"/>
        </w:rPr>
        <w:t xml:space="preserve">a</w:t>
      </w:r>
      <w:r>
        <w:rPr>
          <w:highlight w:val="yellow"/>
        </w:rPr>
        <w:t xml:space="preserve">) Coronal reformat with multi-organ overlays. (</w:t>
      </w:r>
      <w:r>
        <w:rPr>
          <w:b/>
          <w:bCs/>
          <w:highlight w:val="yellow"/>
        </w:rPr>
        <w:t xml:space="preserve">b</w:t>
      </w:r>
      <w:r>
        <w:rPr>
          <w:highlight w:val="yellow"/>
        </w:rPr>
        <w:t xml:space="preserve">–</w:t>
      </w:r>
      <w:r>
        <w:rPr>
          <w:b/>
          <w:bCs/>
          <w:highlight w:val="yellow"/>
        </w:rPr>
        <w:t xml:space="preserve">d</w:t>
      </w:r>
      <w:r>
        <w:rPr>
          <w:highlight w:val="yellow"/>
        </w:rPr>
        <w:t xml:space="preserve">) Axial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levels through the upper abdomen, the renal level and the lower abdomen. Masks were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generated with TotalSegmentator v2.17 using the 1.5 mm full-resolution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total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task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returned to the native DICOM-derived image grid; overlays are translucent so the anatomy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they are drawn against remains visible, and the key lists the structures actually shown.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same acquisition appears in Figure 3. Images are displayed in radiological convention,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the patient’s left on the viewer’s right. Only de-identified imaging from The Cancer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Imaging Archive is shown.</w:t>
      </w:r>
    </w:p>
    <w:bookmarkEnd w:id="31"/>
    <w:bookmarkStart w:id="35" w:name="organ-specific-modulation-weights"/>
    <w:p>
      <w:pPr>
        <w:pStyle w:val="Heading3"/>
      </w:pPr>
      <w:r>
        <w:t xml:space="preserve">3.2. Organ-Specific Modulation Weights</w:t>
      </w:r>
    </w:p>
    <w:p>
      <w:pPr>
        <w:pStyle w:val="FirstParagraph"/>
      </w:pPr>
      <w:r>
        <w:t xml:space="preserve">Across the eligible series, organ-specific modulation weights span 0.59 to 1.69. The</w:t>
      </w:r>
      <w:r>
        <w:t xml:space="preserve"> </w:t>
      </w:r>
      <w:r>
        <w:t xml:space="preserve">anatomy-weighted index therefore departs from the whole-scan CTDIvol by up to roughly 70%</w:t>
      </w:r>
      <w:r>
        <w:t xml:space="preserve"> </w:t>
      </w:r>
      <w:r>
        <w:t xml:space="preserve">in either direction within a single acquisition, which is the variation the index exists</w:t>
      </w:r>
      <w:r>
        <w:t xml:space="preserve"> </w:t>
      </w:r>
      <w:r>
        <w:t xml:space="preserve">to express.</w:t>
      </w:r>
    </w:p>
    <w:p>
      <w:pPr>
        <w:pStyle w:val="BodyText"/>
      </w:pPr>
      <w:r>
        <w:rPr>
          <w:highlight w:val="yellow"/>
        </w:rPr>
        <w:t xml:space="preserve">Figure 3 shows one acquisition end to end: a Canon/Toshiba Aquilion PRIME series of 268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slices with a recorded CTDIvol of 16.1 mGy and a scan mean tube current of 265 mA.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small bowel and colon, lying in the inferior abdomen where the modulation raised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current to about 447 and 435 mA, take weights of 1.69 and 1.64 respectively, giving indices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near 27 mGy; the left kidney and stomach, higher in the scan, take weights of 0.94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indices near 15 mGy. Two organs in the same acquisition thus differ by a factor of 1.8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their anatomy-weighted index, a difference no whole-scan value can express.</w:t>
      </w:r>
    </w:p>
    <w:p>
      <w:pPr>
        <w:pStyle w:val="BodyText"/>
      </w:pPr>
      <w:r>
        <w:drawing>
          <wp:inline>
            <wp:extent cx="5334000" cy="46590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fig3_demonstration_cas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5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3.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One acquisition end to end. (</w:t>
      </w:r>
      <w:r>
        <w:rPr>
          <w:b/>
          <w:bCs/>
          <w:highlight w:val="yellow"/>
        </w:rPr>
        <w:t xml:space="preserve">a</w:t>
      </w:r>
      <w:r>
        <w:rPr>
          <w:highlight w:val="yellow"/>
        </w:rPr>
        <w:t xml:space="preserve">) Each organ’s longitudinal extent,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annotated with the mean tube current recorded over it, against a scan mean of 265 mA.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(</w:t>
      </w:r>
      <w:r>
        <w:rPr>
          <w:b/>
          <w:bCs/>
          <w:highlight w:val="yellow"/>
        </w:rPr>
        <w:t xml:space="preserve">b</w:t>
      </w:r>
      <w:r>
        <w:rPr>
          <w:highlight w:val="yellow"/>
        </w:rPr>
        <w:t xml:space="preserve">) The resulting anatomy-weighted CTDIvol index, with the organ-specific modulation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weight beside each bar; the dashed line is the whole-scan CTDIvol of 16.1 mGy. The bars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are modulation-weighted indices, not absorbed doses.</w:t>
      </w:r>
    </w:p>
    <w:bookmarkEnd w:id="35"/>
    <w:bookmarkStart w:id="39" w:name="X1e80acbb71a080ba11eed7c879b65fdaf9935e5"/>
    <w:p>
      <w:pPr>
        <w:pStyle w:val="Heading3"/>
      </w:pPr>
      <w:r>
        <w:t xml:space="preserve">3.3. Availability of a Dose Index in the Archived Headers</w:t>
      </w:r>
    </w:p>
    <w:p>
      <w:pPr>
        <w:pStyle w:val="FirstParagraph"/>
      </w:pPr>
      <w:r>
        <w:rPr>
          <w:highlight w:val="yellow"/>
        </w:rPr>
        <w:t xml:space="preserve">Across the cohort, 29 of 40 series retained a recorded CTDIvol in the archived DICOM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headers, 5 were reconstructable from acquisition physics, and 6 were neither (Figure 4).</w:t>
      </w:r>
    </w:p>
    <w:p>
      <w:pPr>
        <w:pStyle w:val="BodyText"/>
      </w:pPr>
      <w:r>
        <w:rPr>
          <w:highlight w:val="yellow"/>
        </w:rPr>
        <w:t xml:space="preserve">All 6 unrecoverable series are GE, and none of the ten sampled GE series retained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recorded CTDIvol in the archived headers; the other three manufacturers retained one in 29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 30. Retention of the attributes on which dose monitoring depends is itself a reported problem: monitoring built on the DICOM structured report is limited by what an installation writes and keeps [19], and compliance with dose-reporting requirements has been found incomplete even where they are mandated [20]. These counts are reported descriptively. No significance test is applied: series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drawn from a curated archive are not independent with respect to collection, contributing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site, scanner model, export pathway or de-identification, and a p-value computed over that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structure would describe a sampling model the data do not satisfy. For the six</w:t>
      </w:r>
      <w:r>
        <w:rPr>
          <w:highlight w:val="yellow"/>
        </w:rPr>
        <w:t xml:space="preserve"> </w:t>
      </w:r>
      <w:r>
        <w:rPr>
          <w:highlight w:val="yellow"/>
        </w:rPr>
        <w:t xml:space="preserve">unrecoverable series the organ masks, volumes, mass estimates and modulation weights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all computable and reported, but no anatomy-weighted index exists for them.</w:t>
      </w:r>
    </w:p>
    <w:p>
      <w:pPr>
        <w:pStyle w:val="BodyText"/>
      </w:pPr>
      <w:r>
        <w:drawing>
          <wp:inline>
            <wp:extent cx="5334000" cy="289881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4_dose_index_availability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8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4.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Availability of a whole-scan dose index in the archived DICOM headers, by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manufacturer, in this TCIA sample. A series counted unrecoverable retained no CTDIvol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its header and its scanner lies outside the open coefficient database. Segments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distinguished by fill pattern as well as tone.</w:t>
      </w:r>
    </w:p>
    <w:bookmarkEnd w:id="39"/>
    <w:bookmarkStart w:id="40" w:name="Xd90e4020bed89f40d261fe1605a683ce49c20ad"/>
    <w:p>
      <w:pPr>
        <w:pStyle w:val="Heading3"/>
      </w:pPr>
      <w:r>
        <w:t xml:space="preserve">3.4. How Far the Reconstructed CTDIvol Agrees With a Recorded One</w:t>
      </w:r>
    </w:p>
    <w:p>
      <w:pPr>
        <w:pStyle w:val="FirstParagraph"/>
      </w:pPr>
      <w:r>
        <w:rPr>
          <w:highlight w:val="yellow"/>
        </w:rPr>
        <w:t xml:space="preserve">Where the header retains no CTDIvol, the value is rebuilt from acquisition physics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 open coefficient table [13], and the two origins are kept apart in every record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because the uncertainty they carry differs. That difference has to be quantified rather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than asserted.</w:t>
      </w:r>
    </w:p>
    <w:p>
      <w:pPr>
        <w:pStyle w:val="BodyText"/>
      </w:pPr>
      <w:r>
        <w:rPr>
          <w:highlight w:val="yellow"/>
        </w:rPr>
        <w:t xml:space="preserve">It cannot be quantified in the way one would first attempt. No series in this cohort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carries both values: the reconstruction runs only where the header has none, so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recorded and reconstructed populations are disjoint by construction. The comparison was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therefore made by forcing the reconstruction on the series that do carry a recorded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value, where the recorded value plays no part in producing the reconstructed one.</w:t>
      </w:r>
    </w:p>
    <w:p>
      <w:pPr>
        <w:pStyle w:val="BodyText"/>
      </w:pPr>
      <w:r>
        <w:rPr>
          <w:highlight w:val="yellow"/>
        </w:rPr>
        <w:t xml:space="preserve">Of the 29 series with a recorded CTDIvol, 8 could be reconstructed; the remainder are 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scanner models absent from the open table. Across those 8 the median absolute difference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10.5%, but the differences do not form a spread. Five agree to within 12% — two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Aquilion PRIME at −8.8%, one Aquilion ONE at −8.3%, two iCT 256 at a median −2.0% —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three do not, two Aquilion Prime SP at a median +58.0% and one SOMATOM Definition Flash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 +84.0%. The disagreement is consistent within a scanner model rather than scattered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across series, which locates it in the tabulated coefficient for those models and not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per-series inputs; model resolution is exact after normalisation and rejects near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misses, and the spiral pitch, checked on all 8, is recorded in every case.</w:t>
      </w:r>
    </w:p>
    <w:p>
      <w:pPr>
        <w:pStyle w:val="BodyText"/>
      </w:pPr>
      <w:r>
        <w:rPr>
          <w:highlight w:val="yellow"/>
        </w:rPr>
        <w:t xml:space="preserve">The limitation of this measurement is more important than its result. A model can be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checked here only if some series in the cohort retained a recorded CTDIvol for it,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 GE series retained one. Of the 5 series whose index rests on a reconstructed CTDIvol,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1 is a Philips iCT 256, measured at +7.7%; the other 4 are GE, on models the comparison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cannot reach. The reconstruction is therefore unverified precisely where this study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leans on it hardest, and that is a property of what the archive kept rather than of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method. Results resting on a reconstructed value are marked as such throughout.</w:t>
      </w:r>
    </w:p>
    <w:bookmarkEnd w:id="40"/>
    <w:bookmarkStart w:id="44" w:name="X70cbf5043a3c777e943a08818979130bc3ea1a7"/>
    <w:p>
      <w:pPr>
        <w:pStyle w:val="Heading3"/>
      </w:pPr>
      <w:r>
        <w:t xml:space="preserve">3.5. External Reference Comparison of Estimated Organ Mass</w:t>
      </w:r>
    </w:p>
    <w:p>
      <w:pPr>
        <w:pStyle w:val="FirstParagraph"/>
      </w:pPr>
      <w:r>
        <w:rPr>
          <w:highlight w:val="yellow"/>
        </w:rPr>
        <w:t xml:space="preserve">Table 1 and Figure 5 place attenuation-derived estimated organ mass beside the ICRP 89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adult male values [10], over the 177 untruncated records of the five solid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organs.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Attenuation-derived estimated organ mass beside ICRP 89 reference adult male</w:t>
      </w:r>
      <w:r>
        <w:t xml:space="preserve"> </w:t>
      </w:r>
      <w:r>
        <w:t xml:space="preserve">values, untruncated organs only. The reference is an external anchor, not a subject-level</w:t>
      </w:r>
      <w:r>
        <w:t xml:space="preserve"> </w:t>
      </w:r>
      <w:r>
        <w:t xml:space="preserve">ground truth.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organ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median estimated mass</w:t>
            </w:r>
          </w:p>
        </w:tc>
        <w:tc>
          <w:tcPr/>
          <w:p>
            <w:pPr>
              <w:pStyle w:val="Compact"/>
            </w:pPr>
            <w:r>
              <w:t xml:space="preserve">ratio to ICRP 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liver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1901 g</w:t>
            </w:r>
          </w:p>
        </w:tc>
        <w:tc>
          <w:tcPr/>
          <w:p>
            <w:pPr>
              <w:pStyle w:val="Compact"/>
            </w:pPr>
            <w:r>
              <w:t xml:space="preserve">1.06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spleen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259 g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(left)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179 g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kidney (right)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182 g</w:t>
            </w:r>
          </w:p>
        </w:tc>
        <w:tc>
          <w:tcPr/>
          <w:p>
            <w:pPr>
              <w:pStyle w:val="Compact"/>
            </w:pPr>
            <w:r>
              <w:t xml:space="preserve">1.17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pancreas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86 g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</w:tbl>
    <w:p>
      <w:pPr>
        <w:pStyle w:val="BodyText"/>
      </w:pPr>
      <w:r>
        <w:t xml:space="preserve">Estimates for the liver were broadly consistent with the reference value, within 6%, and</w:t>
      </w:r>
      <w:r>
        <w:t xml:space="preserve"> </w:t>
      </w:r>
      <w:r>
        <w:t xml:space="preserve">the kidneys within 17%. Two organs departed more substantially: the pancreas estimate was</w:t>
      </w:r>
      <w:r>
        <w:t xml:space="preserve"> </w:t>
      </w:r>
      <w:r>
        <w:t xml:space="preserve">39% below the reference and the spleen 72% above. Neither was adjusted; possible</w:t>
      </w:r>
      <w:r>
        <w:t xml:space="preserve"> </w:t>
      </w:r>
      <w:r>
        <w:t xml:space="preserve">explanations are examined in Section 4.</w:t>
      </w:r>
    </w:p>
    <w:p>
      <w:pPr>
        <w:pStyle w:val="BodyText"/>
      </w:pPr>
      <w:r>
        <w:drawing>
          <wp:inline>
            <wp:extent cx="5147224" cy="294258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es/fig5_organ_mass_vs_icrp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7224" cy="2942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5.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Attenuation-derived estimated organ mass relative to the ICRP 89 reference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adult male mass, by manufacturer. Each marker is one organ in one series; the horizontal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bar is the median across all manufacturers. Organs truncated by the scan boundary are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excluded. Manufacturer is encoded by marker shape as well as colour, so the figure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readable in greyscale.</w:t>
      </w:r>
    </w:p>
    <w:bookmarkEnd w:id="44"/>
    <w:bookmarkStart w:id="48" w:name="Xe502f279f709e96f2f22f37520e1c85ca7cf199"/>
    <w:p>
      <w:pPr>
        <w:pStyle w:val="Heading3"/>
      </w:pPr>
      <w:r>
        <w:t xml:space="preserve">3.6. What Limits an Organ-Level Modulation Analysis</w:t>
      </w:r>
    </w:p>
    <w:p>
      <w:pPr>
        <w:pStyle w:val="FirstParagraph"/>
      </w:pPr>
      <w:r>
        <w:rPr>
          <w:highlight w:val="yellow"/>
        </w:rPr>
        <w:t xml:space="preserve">Two conditions reduce what such an analysis can measure, and both differ across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sampled manufacturers (Figure 6).</w:t>
      </w:r>
    </w:p>
    <w:p>
      <w:pPr>
        <w:pStyle w:val="BodyText"/>
      </w:pPr>
      <w:r>
        <w:t xml:space="preserve">Truncation by the scan boundary affected 5.2% of organ records on GE, 5.5% on Siemens,</w:t>
      </w:r>
      <w:r>
        <w:t xml:space="preserve"> </w:t>
      </w:r>
      <w:r>
        <w:t xml:space="preserve">10.4% on Canon/Toshiba and 20.0% on Philips, reflecting the scan ranges of the sampled</w:t>
      </w:r>
      <w:r>
        <w:t xml:space="preserve"> </w:t>
      </w:r>
      <w:r>
        <w:t xml:space="preserve">acquisitions rather than any property of the scanners. The organs most often cut are the</w:t>
      </w:r>
      <w:r>
        <w:t xml:space="preserve"> </w:t>
      </w:r>
      <w:r>
        <w:t xml:space="preserve">colon and small bowel.</w:t>
      </w:r>
    </w:p>
    <w:p>
      <w:pPr>
        <w:pStyle w:val="BodyText"/>
      </w:pPr>
      <w:r>
        <w:t xml:space="preserve">Three of the 39 series eligible for quantitative modulation analysis showed a</w:t>
      </w:r>
      <w:r>
        <w:t xml:space="preserve"> </w:t>
      </w:r>
      <w:r>
        <w:t xml:space="preserve">peak-to-peak spread of organ weights below 0.02: their tube</w:t>
      </w:r>
      <w:r>
        <w:t xml:space="preserve"> </w:t>
      </w:r>
      <w:r>
        <w:t xml:space="preserve">current does not vary across the abdominal organs, so the weighting has nothing to</w:t>
      </w:r>
      <w:r>
        <w:t xml:space="preserve"> </w:t>
      </w:r>
      <w:r>
        <w:t xml:space="preserve">express. These series passed the modulation screen at selection, where the current varies</w:t>
      </w:r>
      <w:r>
        <w:t xml:space="preserve"> </w:t>
      </w:r>
      <w:r>
        <w:t xml:space="preserve">across the whole scan; the flatness is local to the abdomen. They are uninformative for</w:t>
      </w:r>
      <w:r>
        <w:t xml:space="preserve"> </w:t>
      </w:r>
      <w:r>
        <w:t xml:space="preserve">this analysis rather than faulty.</w:t>
      </w:r>
    </w:p>
    <w:p>
      <w:pPr>
        <w:pStyle w:val="BodyText"/>
      </w:pPr>
      <w:r>
        <w:drawing>
          <wp:inline>
            <wp:extent cx="5296186" cy="234214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6_study_limi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186" cy="2342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highlight w:val="yellow"/>
        </w:rPr>
        <w:t xml:space="preserve">Figure 6.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What limits an organ-level modulation analysis. (</w:t>
      </w:r>
      <w:r>
        <w:rPr>
          <w:b/>
          <w:bCs/>
          <w:highlight w:val="yellow"/>
        </w:rPr>
        <w:t xml:space="preserve">a</w:t>
      </w:r>
      <w:r>
        <w:rPr>
          <w:highlight w:val="yellow"/>
        </w:rPr>
        <w:t xml:space="preserve">) Percentage of organ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records truncated by the scan boundary, by manufacturer, annotated with the counts, over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all 40 segmented series. (</w:t>
      </w:r>
      <w:r>
        <w:rPr>
          <w:b/>
          <w:bCs/>
          <w:highlight w:val="yellow"/>
        </w:rPr>
        <w:t xml:space="preserve">b</w:t>
      </w:r>
      <w:r>
        <w:rPr>
          <w:highlight w:val="yellow"/>
        </w:rPr>
        <w:t xml:space="preserve">) Peak-to-peak spread of the organ-specific modulation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weights within each of the 39 series eligible for quantitative modulation analysis;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dashed line is the threshold below which a series carries no usable variation.</w:t>
      </w:r>
    </w:p>
    <w:bookmarkEnd w:id="48"/>
    <w:bookmarkEnd w:id="49"/>
    <w:bookmarkStart w:id="50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finding.</w:t>
      </w:r>
      <w:r>
        <w:t xml:space="preserve"> </w:t>
      </w:r>
      <w:r>
        <w:t xml:space="preserve">Organ-specific modulation weights span 0.59 to 1.69 across the</w:t>
      </w:r>
      <w:r>
        <w:t xml:space="preserve"> </w:t>
      </w:r>
      <w:r>
        <w:t xml:space="preserve">eligible cohort, and within a single acquisition two organs differed by a factor of 1.8 in their</w:t>
      </w:r>
      <w:r>
        <w:t xml:space="preserve"> </w:t>
      </w:r>
      <w:r>
        <w:t xml:space="preserve">anatomy-weighted index. Longitudinal modulation therefore produces organ-specific exposure</w:t>
      </w:r>
      <w:r>
        <w:t xml:space="preserve"> </w:t>
      </w:r>
      <w:r>
        <w:t xml:space="preserve">conditions that a single whole-scan CTDIvol cannot represent, and the magnitude is large</w:t>
      </w:r>
      <w:r>
        <w:t xml:space="preserve"> </w:t>
      </w:r>
      <w:r>
        <w:t xml:space="preserve">enough to matter for any organ-level analysis built on that value.</w:t>
      </w:r>
    </w:p>
    <w:p>
      <w:pPr>
        <w:pStyle w:val="BodyText"/>
      </w:pPr>
      <w:r>
        <w:rPr>
          <w:highlight w:val="yellow"/>
        </w:rPr>
        <w:t xml:space="preserve">The direction of that finding is the part likely to hold; the size of it is not. A weight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span is a property of the protocols, patient habitus and modulation settings that happen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to be present, and these 39 series were assembled from oncological collections by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vendor-balanced quota rather than sampled from any clinical population. A cohort with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different body sizes, a different mix of examination types, or different modulation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strength would produce a different span. What the numbers here establish is that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departure is not small and cannot be assumed away; they do not establish how large it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in any particular clinic, and the same caution applies to the availability fractions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below.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weight is a direct, dimensionless summary of how the recorded tube</w:t>
      </w:r>
      <w:r>
        <w:t xml:space="preserve"> </w:t>
      </w:r>
      <w:r>
        <w:t xml:space="preserve">current was distributed over an organ’s own longitudinal extent in that patient. It</w:t>
      </w:r>
      <w:r>
        <w:t xml:space="preserve"> </w:t>
      </w:r>
      <w:r>
        <w:t xml:space="preserve">requires no phantom, no simulation and no additional acquisition — only metadata the</w:t>
      </w:r>
      <w:r>
        <w:t xml:space="preserve"> </w:t>
      </w:r>
      <w:r>
        <w:t xml:space="preserve">scanner already writes and a segmentation obtained at inference.</w:t>
      </w:r>
    </w:p>
    <w:p>
      <w:pPr>
        <w:pStyle w:val="BodyText"/>
      </w:pPr>
      <w:r>
        <w:rPr>
          <w:b/>
          <w:bCs/>
          <w:highlight w:val="yellow"/>
        </w:rPr>
        <w:t xml:space="preserve">Relation to previous work.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quantity is that of Khatonabadi et al. [3] and Tian et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al. [4], who established the organ-specific weighted CTDIvol and validated it against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Monte-Carlo organ dose; this study did not invent it, and adds nothing to those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validations. What differs is the setting. That line of work, and the modulation dosimetry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around it, proceeded from single-institution cohorts with one or two scanner models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manual or semi-automatic contours, drawing in part on raw projection data or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vendor-supplied modulation profiles that archived DICOM does not retain. Here the same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quantity is obtained from archived headers alone, across four manufacturers and 23 scanner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models, with contours produced automatically.</w:t>
      </w:r>
    </w:p>
    <w:p>
      <w:pPr>
        <w:pStyle w:val="BodyText"/>
      </w:pPr>
      <w:r>
        <w:rPr>
          <w:highlight w:val="yellow"/>
        </w:rPr>
        <w:t xml:space="preserve">Three recent studies sit closest and differ in endpoint rather than in quality. Li et al.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[5] characterise SSDE(z), a patient-size-adjusted dose index evaluated at each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longitudinal position; that is related but not the same quantity, since the weighting here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is by segmented organ occupancy of the tube-current profile rather than by patient size at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given position. Nuntue et al. [6] also derive modulation profiles from DICOM headers,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go further than this work in estimating absorbed organ dose with Monte-Carlo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simulation and measurement validation; this study deliberately stops short of absorbed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dose and addresses instead archive feasibility, multi-vendor availability, quality control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an open implementation. Eom et al. [7] likewise use TotalSegmentator for automated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dose calculation, but their endpoint is effective dose from body regions and DLP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conversion factors, whereas the present work uses individual organ masks, the per-slice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tube current and an organ-specific longitudinal weighting.</w:t>
      </w:r>
    </w:p>
    <w:p>
      <w:pPr>
        <w:pStyle w:val="BodyText"/>
      </w:pPr>
      <w:r>
        <w:t xml:space="preserve">The contribution is therefore not a new dose index or an improvement on the published</w:t>
      </w:r>
      <w:r>
        <w:t xml:space="preserve"> </w:t>
      </w:r>
      <w:r>
        <w:t xml:space="preserve">Monte-Carlo validations. It is an open, multi-vendor operationalisation and empirical</w:t>
      </w:r>
      <w:r>
        <w:t xml:space="preserve"> </w:t>
      </w:r>
      <w:r>
        <w:t xml:space="preserve">characterisation of the organ-weighting layer under the constraints of real archived</w:t>
      </w:r>
      <w:r>
        <w:t xml:space="preserve"> </w:t>
      </w:r>
      <w:r>
        <w:t xml:space="preserve">DICOM.</w:t>
      </w:r>
    </w:p>
    <w:p>
      <w:pPr>
        <w:pStyle w:val="BodyText"/>
      </w:pPr>
      <w:r>
        <w:rPr>
          <w:b/>
          <w:bCs/>
          <w:highlight w:val="yellow"/>
        </w:rPr>
        <w:t xml:space="preserve">What the index is, and what it is not.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As set out in Section 2.11, the index addresses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longitudinal modulation alone. It does not account for scatter, for irradiation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originating outside the organ’s segmented extent, for angular modulation, for organ depth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and attenuation, or for radiation transport, and it is not an estimate of absorbed organ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dose in milligray. Its value lies in isolating one well-defined contribution —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longitudinal one — and reporting it patient-specifically and reproducibly.</w:t>
      </w:r>
    </w:p>
    <w:p>
      <w:pPr>
        <w:pStyle w:val="BodyText"/>
      </w:pPr>
      <w:r>
        <w:rPr>
          <w:b/>
          <w:bCs/>
          <w:highlight w:val="yellow"/>
        </w:rPr>
        <w:t xml:space="preserve">External reference comparison of estimated mass.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Liver and kidney estimates were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broadly consistent with ICRP 89 reference values, which is the expected behaviour if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segmentation and the density model are working. The pancreas estimate sits 39% below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reference. The pancreas is the weakest of these organs in TotalSegmentator’s own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validation (Dice 0.887, against 0.965 for the liver, 0.983 for the spleen and 0.953 and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0.939 for the kidneys [8]), which supports reduced boundary agreement; but Dice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symmetric and does not establish the</w:t>
      </w:r>
      <w:r>
        <w:rPr>
          <w:highlight w:val="yellow"/>
        </w:rPr>
        <w:t xml:space="preserve"> </w:t>
      </w:r>
      <w:r>
        <w:rPr>
          <w:i/>
          <w:iCs/>
          <w:highlight w:val="yellow"/>
        </w:rPr>
        <w:t xml:space="preserve">direction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of a disagreement, so it does not by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itself demonstrate under-segmentation. Contrast phase, reconstruction kernel and genuine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anatomical variation in this cohort are alternative contributors that the present design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cannot separate. The source of the discrepancy cannot be determined without subject-level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contours or clinical ground truth.</w:t>
      </w:r>
    </w:p>
    <w:p>
      <w:pPr>
        <w:pStyle w:val="BodyText"/>
      </w:pPr>
      <w:r>
        <w:t xml:space="preserve">The spleen estimate sits 72% above the reference. The four largest cases — 4.47, 3.74,</w:t>
      </w:r>
      <w:r>
        <w:t xml:space="preserve"> </w:t>
      </w:r>
      <w:r>
        <w:t xml:space="preserve">3.34 and 3.06 times the reference value — were reviewed slice by slice against their own</w:t>
      </w:r>
      <w:r>
        <w:t xml:space="preserve"> </w:t>
      </w:r>
      <w:r>
        <w:t xml:space="preserve">images: each contour follows the splenic boundary with correct laterality, tracks the notch</w:t>
      </w:r>
      <w:r>
        <w:t xml:space="preserve"> </w:t>
      </w:r>
      <w:r>
        <w:t xml:space="preserve">at the hilum, shows no leakage into liver, kidney or stomach, and forms a single connected</w:t>
      </w:r>
      <w:r>
        <w:t xml:space="preserve"> </w:t>
      </w:r>
      <w:r>
        <w:t xml:space="preserve">component, so no accessory spleen was included. Their mean densities, 1.052 to 1.078</w:t>
      </w:r>
      <w:r>
        <w:t xml:space="preserve"> </w:t>
      </w:r>
      <w:r>
        <w:t xml:space="preserve">g/cm³, are unremarkable for splenic tissue, so the elevation arises from segmented volume</w:t>
      </w:r>
      <w:r>
        <w:t xml:space="preserve"> </w:t>
      </w:r>
      <w:r>
        <w:t xml:space="preserve">rather than from the density model; and the spleen is the best-segmented of these organs</w:t>
      </w:r>
      <w:r>
        <w:t xml:space="preserve"> </w:t>
      </w:r>
      <w:r>
        <w:t xml:space="preserve">in the segmenter’s validation. The cases arise on four different manufacturers. The cohort</w:t>
      </w:r>
      <w:r>
        <w:t xml:space="preserve"> </w:t>
      </w:r>
      <w:r>
        <w:t xml:space="preserve">is oncological — renal cell, colorectal and adrenal carcinoma — in which splenomegaly is</w:t>
      </w:r>
      <w:r>
        <w:t xml:space="preserve"> </w:t>
      </w:r>
      <w:r>
        <w:t xml:space="preserve">common, and the ICRP reference adult is not that population. The observed elevation was</w:t>
      </w:r>
      <w:r>
        <w:t xml:space="preserve"> </w:t>
      </w:r>
      <w:r>
        <w:t xml:space="preserve">most consistent with cohort anatomy among the explanations examined, although</w:t>
      </w:r>
      <w:r>
        <w:t xml:space="preserve"> </w:t>
      </w:r>
      <w:r>
        <w:t xml:space="preserve">subject-level pathological confirmation was unavailable.</w:t>
      </w:r>
    </w:p>
    <w:p>
      <w:pPr>
        <w:pStyle w:val="BodyText"/>
      </w:pPr>
      <w:r>
        <w:rPr>
          <w:b/>
          <w:bCs/>
        </w:rPr>
        <w:t xml:space="preserve">Availability in archived headers, and its confounders.</w:t>
      </w:r>
      <w:r>
        <w:t xml:space="preserve"> </w:t>
      </w:r>
      <w:r>
        <w:t xml:space="preserve">In this sample, availability of</w:t>
      </w:r>
      <w:r>
        <w:t xml:space="preserve"> </w:t>
      </w:r>
      <w:r>
        <w:t xml:space="preserve">a recorded CTDIvol differed markedly with manufacturer. This is an observation about</w:t>
      </w:r>
      <w:r>
        <w:t xml:space="preserve"> </w:t>
      </w:r>
      <w:r>
        <w:t xml:space="preserve">archived DICOM headers in one curated archive, not a statement about scanner</w:t>
      </w:r>
      <w:r>
        <w:t xml:space="preserve"> </w:t>
      </w:r>
      <w:r>
        <w:t xml:space="preserve">implementations. The present design cannot distinguish between scanner implementation,</w:t>
      </w:r>
      <w:r>
        <w:t xml:space="preserve"> </w:t>
      </w:r>
      <w:r>
        <w:t xml:space="preserve">scanner generation, acquisition site, DICOM export pathway, PACS processing,</w:t>
      </w:r>
      <w:r>
        <w:t xml:space="preserve"> </w:t>
      </w:r>
      <w:r>
        <w:t xml:space="preserve">de-identification, archive curation and collection composition as the origin of a missing</w:t>
      </w:r>
      <w:r>
        <w:t xml:space="preserve"> </w:t>
      </w:r>
      <w:r>
        <w:t xml:space="preserve">attribute; several of these are confounded with manufacturer through collection</w:t>
      </w:r>
      <w:r>
        <w:t xml:space="preserve"> </w:t>
      </w:r>
      <w:r>
        <w:t xml:space="preserve">membership. The practical consequence stands regardless of cause: a retrospective</w:t>
      </w:r>
      <w:r>
        <w:t xml:space="preserve"> </w:t>
      </w:r>
      <w:r>
        <w:t xml:space="preserve">organ-level analysis drawn from an archive will lose a manufacturer-associated fraction of</w:t>
      </w:r>
      <w:r>
        <w:t xml:space="preserve"> </w:t>
      </w:r>
      <w:r>
        <w:t xml:space="preserve">its cohort before segmentation is considered, and a study that does not report which</w:t>
      </w:r>
      <w:r>
        <w:t xml:space="preserve"> </w:t>
      </w:r>
      <w:r>
        <w:t xml:space="preserve">series were lost will under-represent that manufacturer silently.</w:t>
      </w:r>
    </w:p>
    <w:p>
      <w:pPr>
        <w:pStyle w:val="BodyText"/>
      </w:pPr>
      <w:r>
        <w:rPr>
          <w:b/>
          <w:bCs/>
        </w:rPr>
        <w:t xml:space="preserve">Why acquisition constancy has to be screened.</w:t>
      </w:r>
      <w:r>
        <w:t xml:space="preserve"> </w:t>
      </w:r>
      <w:r>
        <w:t xml:space="preserve">The acquisition-constancy criterion</w:t>
      </w:r>
      <w:r>
        <w:t xml:space="preserve"> </w:t>
      </w:r>
      <w:r>
        <w:t xml:space="preserve">identified one series in which tube current alone was not proportional to scanner output,</w:t>
      </w:r>
      <w:r>
        <w:t xml:space="preserve"> </w:t>
      </w:r>
      <w:r>
        <w:t xml:space="preserve">because the acquisition changed rotation and exposure time part-way through. Excluding it</w:t>
      </w:r>
      <w:r>
        <w:t xml:space="preserve"> </w:t>
      </w:r>
      <w:r>
        <w:t xml:space="preserve">prevents a mixed acquisition from entering the quantitative modulation analysis, and</w:t>
      </w:r>
      <w:r>
        <w:t xml:space="preserve"> </w:t>
      </w:r>
      <w:r>
        <w:t xml:space="preserve">illustrates why constancy must be verified rather than assumed: nothing in the images, the</w:t>
      </w:r>
      <w:r>
        <w:t xml:space="preserve"> </w:t>
      </w:r>
      <w:r>
        <w:t xml:space="preserve">segmentation or the weights themselves would have revealed it. A current–time product</w:t>
      </w:r>
      <w:r>
        <w:t xml:space="preserve"> </w:t>
      </w:r>
      <w:r>
        <w:t xml:space="preserve">would be the more faithful weighting in general; it is not adopted here because exposure</w:t>
      </w:r>
      <w:r>
        <w:t xml:space="preserve"> </w:t>
      </w:r>
      <w:r>
        <w:t xml:space="preserve">time is absent from the archived headers of one other series and could not be applied</w:t>
      </w:r>
      <w:r>
        <w:t xml:space="preserve"> </w:t>
      </w:r>
      <w:r>
        <w:t xml:space="preserve">uniformly across the cohort.</w:t>
      </w:r>
    </w:p>
    <w:p>
      <w:pPr>
        <w:pStyle w:val="BodyText"/>
      </w:pPr>
      <w:r>
        <w:rPr>
          <w:b/>
          <w:bCs/>
          <w:highlight w:val="yellow"/>
        </w:rPr>
        <w:t xml:space="preserve">Reproducibility and open implementation.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implementation is MIT-licensed,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imaging is redistributed, and every reported value is re-derived from the per-series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records by an automated test suite that regenerates the analysis tables and compares them.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The acquisition procedure, the analysis and the figures are each a single command.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components differ in status and are not claimed as uniformly open: the imaging is publicly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accessible under collection-specific licences; the segmentation software and the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total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task weights are openly redistributable; the normalised-CTDI database is CC BY;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HU-to-density anchor values are used by citation to ICRU Report 44 [16] and Schneider et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al. [17] rather than redistributed; and no Monte-Carlo coefficient table is included at all.</w:t>
      </w:r>
    </w:p>
    <w:p>
      <w:pPr>
        <w:pStyle w:val="BodyText"/>
      </w:pPr>
      <w:r>
        <w:rPr>
          <w:b/>
          <w:bCs/>
          <w:highlight w:val="yellow"/>
        </w:rPr>
        <w:t xml:space="preserve">The boundary to absorbed organ dose.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Converting an anatomy-weighted index into an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absorbed organ dose requires CTDIvol-normalised coefficients with a patient-size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correction, of the kind applied over patient model libraries by Tian et al. [4], together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the transport considerations listed in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Section 2.11. Those coefficient sets are published in subscription journals or distributed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 research software under terms granting use but not redistribution, which reflects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publishing convention for Monte-Carlo reference data rather than any deficiency in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coefficients themselves. Normalised-CTDI data of the kind used here to reconstruct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missing whole-scan index has been published under CC BY [18], which shows the convention is</w:t>
      </w:r>
      <w:r>
        <w:rPr>
          <w:highlight w:val="yellow"/>
        </w:rPr>
        <w:t xml:space="preserve"> </w:t>
      </w:r>
      <w:r>
        <w:rPr>
          <w:highlight w:val="yellow"/>
        </w:rPr>
        <w:t xml:space="preserve">movable. The software accordingly refuses to emit a dose in milligray unless supplied with</w:t>
      </w:r>
      <w:r>
        <w:rPr>
          <w:highlight w:val="yellow"/>
        </w:rPr>
        <w:t xml:space="preserve"> </w:t>
      </w:r>
      <w:r>
        <w:rPr>
          <w:highlight w:val="yellow"/>
        </w:rPr>
        <w:t xml:space="preserve">a coefficient table carrying its citation, DOI, licence and source hash.</w:t>
      </w:r>
    </w:p>
    <w:p>
      <w:pPr>
        <w:pStyle w:val="BodyText"/>
      </w:pPr>
      <w:r>
        <w:rPr>
          <w:b/>
          <w:bCs/>
          <w:highlight w:val="yellow"/>
        </w:rPr>
        <w:t xml:space="preserve">Limitations.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Ten series per manufacturer supports a median and an interquartile range,</w:t>
      </w:r>
      <w:r>
        <w:rPr>
          <w:highlight w:val="yellow"/>
        </w:rPr>
        <w:t xml:space="preserve"> </w:t>
      </w:r>
      <w:r>
        <w:rPr>
          <w:highlight w:val="yellow"/>
        </w:rPr>
        <w:t xml:space="preserve">not a distributional claim, and series within the archive are not independent with respect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to collection, site, scanner model or export pathway. The cohort is oncological and not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reference population. Contrast phase, tube voltage and reconstruction kernel were not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controlled, and all affect attenuation-derived mass estimates. A single segmentation model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was used, so segmentation behaviour and cohort anatomy cannot be separated. There is no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subject-level ground truth for organ mass. Rotation time, pitch and collimation are absent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from the archived headers of some series (19, 8 and 9 respectively), so their constancy</w:t>
      </w:r>
      <w:r>
        <w:rPr>
          <w:highlight w:val="yellow"/>
        </w:rPr>
        <w:t xml:space="preserve"> </w:t>
      </w:r>
      <w:r>
        <w:rPr>
          <w:highlight w:val="yellow"/>
        </w:rPr>
        <w:t xml:space="preserve">within those series could not be fully verified and is assumed from the single-acquisition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representation; the acquisition-constancy criterion is therefore a screen against</w:t>
      </w:r>
      <w:r>
        <w:rPr>
          <w:highlight w:val="yellow"/>
        </w:rPr>
        <w:t xml:space="preserve"> </w:t>
      </w:r>
      <w:r>
        <w:rPr>
          <w:highlight w:val="yellow"/>
        </w:rPr>
        <w:t xml:space="preserve">detectable violations rather than a guarantee. The index addresses longitudinal modulation</w:t>
      </w:r>
      <w:r>
        <w:rPr>
          <w:highlight w:val="yellow"/>
        </w:rPr>
        <w:t xml:space="preserve"> </w:t>
      </w:r>
      <w:r>
        <w:rPr>
          <w:highlight w:val="yellow"/>
        </w:rPr>
        <w:t xml:space="preserve">only, as set out in Section 2.11, and no absorbed dose is reported.</w:t>
      </w:r>
    </w:p>
    <w:p>
      <w:pPr>
        <w:pStyle w:val="BodyText"/>
      </w:pPr>
      <w:r>
        <w:rPr>
          <w:b/>
          <w:bCs/>
        </w:rPr>
        <w:t xml:space="preserve">Future work.</w:t>
      </w:r>
      <w:r>
        <w:t xml:space="preserve"> </w:t>
      </w:r>
      <w:r>
        <w:t xml:space="preserve">Coefficients computed with an open-source Monte-Carlo engine would carry</w:t>
      </w:r>
      <w:r>
        <w:t xml:space="preserve"> </w:t>
      </w:r>
      <w:r>
        <w:t xml:space="preserve">no licensing constraint and would permit the transport terms this index omits; an</w:t>
      </w:r>
      <w:r>
        <w:t xml:space="preserve"> </w:t>
      </w:r>
      <w:r>
        <w:t xml:space="preserve">independent segmentation model on the same series would separate segmentation behaviour</w:t>
      </w:r>
      <w:r>
        <w:t xml:space="preserve"> </w:t>
      </w:r>
      <w:r>
        <w:t xml:space="preserve">from cohort anatomy for the pancreas and spleen; and a larger archive cohort would allow</w:t>
      </w:r>
      <w:r>
        <w:t xml:space="preserve"> </w:t>
      </w:r>
      <w:r>
        <w:t xml:space="preserve">the availability observation to be examined with collection and site modelled explicitly</w:t>
      </w:r>
      <w:r>
        <w:t xml:space="preserve"> </w:t>
      </w:r>
      <w:r>
        <w:t xml:space="preserve">rather than confounded.</w:t>
      </w:r>
    </w:p>
    <w:bookmarkEnd w:id="50"/>
    <w:bookmarkStart w:id="51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This study did not compute absorbed organ dose, and did not propose a new index. It took</w:t>
      </w:r>
      <w:r>
        <w:t xml:space="preserve"> </w:t>
      </w:r>
      <w:r>
        <w:t xml:space="preserve">an organ-specific weighted CTDIvol already reported in the literature and established what</w:t>
      </w:r>
      <w:r>
        <w:t xml:space="preserve"> </w:t>
      </w:r>
      <w:r>
        <w:t xml:space="preserve">it yields when operationalised openly across manufacturers, from metadata a scanner</w:t>
      </w:r>
      <w:r>
        <w:t xml:space="preserve"> </w:t>
      </w:r>
      <w:r>
        <w:t xml:space="preserve">already records and organ masks obtained at inference.</w:t>
      </w:r>
      <w:r>
        <w:t xml:space="preserve"> </w:t>
      </w:r>
      <w:r>
        <w:t xml:space="preserve">Organ-specific modulation weights spanned 0.59 to 1.69, and two organs within one</w:t>
      </w:r>
      <w:r>
        <w:t xml:space="preserve"> </w:t>
      </w:r>
      <w:r>
        <w:t xml:space="preserve">acquisition differed by a factor of 1.8 in their index, so the variation a single</w:t>
      </w:r>
      <w:r>
        <w:t xml:space="preserve"> </w:t>
      </w:r>
      <w:r>
        <w:t xml:space="preserve">whole-scan value conceals is substantial. The approach ran across four manufacturers using</w:t>
      </w:r>
      <w:r>
        <w:t xml:space="preserve"> </w:t>
      </w:r>
      <w:r>
        <w:t xml:space="preserve">publicly accessible imaging data and openly redistributable software components, and in</w:t>
      </w:r>
      <w:r>
        <w:t xml:space="preserve"> </w:t>
      </w:r>
      <w:r>
        <w:t xml:space="preserve">this archive cohort the availability of the whole-scan CTDIvol the index scales varied</w:t>
      </w:r>
      <w:r>
        <w:t xml:space="preserve"> </w:t>
      </w:r>
      <w:r>
        <w:t xml:space="preserve">markedly between manufacturers, which constrains any retrospective analysis of this kind.</w:t>
      </w:r>
      <w:r>
        <w:t xml:space="preserve"> </w:t>
      </w:r>
      <w:r>
        <w:t xml:space="preserve">The index is a step before conversion to absorbed organ dose, not a substitute for it:</w:t>
      </w:r>
      <w:r>
        <w:t xml:space="preserve"> </w:t>
      </w:r>
      <w:r>
        <w:t xml:space="preserve">that conversion requires Monte-Carlo coefficients and the transport terms this index</w:t>
      </w:r>
      <w:r>
        <w:t xml:space="preserve"> </w:t>
      </w:r>
      <w:r>
        <w:t xml:space="preserve">omits. The implementation and derived records are openly available, provenance-aware and</w:t>
      </w:r>
      <w:r>
        <w:t xml:space="preserve"> </w:t>
      </w:r>
      <w:r>
        <w:t xml:space="preserve">reproducible from the shipped results.</w:t>
      </w:r>
    </w:p>
    <w:bookmarkEnd w:id="51"/>
    <w:bookmarkStart w:id="52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S.Y.: conceptualisation, methodology, software, validation, formal analysis,</w:t>
      </w:r>
      <w:r>
        <w:t xml:space="preserve"> </w:t>
      </w:r>
      <w:r>
        <w:t xml:space="preserve">investigation, data curation, writing — original draft, writing — review and editing,</w:t>
      </w:r>
      <w:r>
        <w:t xml:space="preserve"> </w:t>
      </w:r>
      <w:r>
        <w:t xml:space="preserve">visualisation. The author has read and agreed to the published version of the manuscript.</w:t>
      </w:r>
    </w:p>
    <w:bookmarkEnd w:id="52"/>
    <w:bookmarkStart w:id="53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research received no external funding.</w:t>
      </w:r>
    </w:p>
    <w:bookmarkEnd w:id="53"/>
    <w:bookmarkStart w:id="54" w:name="institutional-review-board-statement"/>
    <w:p>
      <w:pPr>
        <w:pStyle w:val="Heading2"/>
      </w:pPr>
      <w:r>
        <w:t xml:space="preserve">Institutional Review Board Statement</w:t>
      </w:r>
    </w:p>
    <w:p>
      <w:pPr>
        <w:pStyle w:val="FirstParagraph"/>
      </w:pPr>
      <w:r>
        <w:t xml:space="preserve">Not applicable. This study analyzed only publicly available, fully de-identified human</w:t>
      </w:r>
      <w:r>
        <w:t xml:space="preserve"> </w:t>
      </w:r>
      <w:r>
        <w:t xml:space="preserve">imaging data obtained from The Cancer Imaging Archive (TCIA) under Creative Commons</w:t>
      </w:r>
      <w:r>
        <w:t xml:space="preserve"> </w:t>
      </w:r>
      <w:r>
        <w:t xml:space="preserve">Attribution (CC BY) licenses. Because the data are publicly available and not individually</w:t>
      </w:r>
      <w:r>
        <w:t xml:space="preserve"> </w:t>
      </w:r>
      <w:r>
        <w:t xml:space="preserve">identifiable, the work does not constitute human-subjects research under the U.S. Common</w:t>
      </w:r>
      <w:r>
        <w:t xml:space="preserve"> </w:t>
      </w:r>
      <w:r>
        <w:t xml:space="preserve">Rule (45 CFR 46.102(e)); TCIA distributes these collections after HIPAA-compliant</w:t>
      </w:r>
      <w:r>
        <w:t xml:space="preserve"> </w:t>
      </w:r>
      <w:r>
        <w:t xml:space="preserve">de-identification. No new data were collected from human participants and no protected</w:t>
      </w:r>
      <w:r>
        <w:t xml:space="preserve"> </w:t>
      </w:r>
      <w:r>
        <w:t xml:space="preserve">health information was accessed. Institutional review board approval and informed consent</w:t>
      </w:r>
      <w:r>
        <w:t xml:space="preserve"> </w:t>
      </w:r>
      <w:r>
        <w:t xml:space="preserve">were therefore not required.</w:t>
      </w:r>
    </w:p>
    <w:bookmarkEnd w:id="54"/>
    <w:bookmarkStart w:id="55" w:name="informed-consent-statement"/>
    <w:p>
      <w:pPr>
        <w:pStyle w:val="Heading2"/>
      </w:pPr>
      <w:r>
        <w:t xml:space="preserve">Informed Consent Statement</w:t>
      </w:r>
    </w:p>
    <w:p>
      <w:pPr>
        <w:pStyle w:val="FirstParagraph"/>
      </w:pPr>
      <w:r>
        <w:t xml:space="preserve">Not applicable. This study used only publicly available, de-identified imaging from The</w:t>
      </w:r>
      <w:r>
        <w:t xml:space="preserve"> </w:t>
      </w:r>
      <w:r>
        <w:t xml:space="preserve">Cancer Imaging Archive.</w:t>
      </w:r>
    </w:p>
    <w:bookmarkEnd w:id="55"/>
    <w:bookmarkStart w:id="56" w:name="data-availability-statement"/>
    <w:p>
      <w:pPr>
        <w:pStyle w:val="Heading2"/>
      </w:pPr>
      <w:r>
        <w:t xml:space="preserve">Data Availability Statement</w:t>
      </w:r>
    </w:p>
    <w:p>
      <w:pPr>
        <w:pStyle w:val="FirstParagraph"/>
      </w:pPr>
      <w:r>
        <w:t xml:space="preserve">The software supporting this study,</w:t>
      </w:r>
      <w:r>
        <w:t xml:space="preserve"> </w:t>
      </w:r>
      <w:r>
        <w:rPr>
          <w:rStyle w:val="VerbatimChar"/>
        </w:rPr>
        <w:t xml:space="preserve">ctsegdose-core</w:t>
      </w:r>
      <w:r>
        <w:t xml:space="preserve">, is openly available under the MIT</w:t>
      </w:r>
      <w:r>
        <w:t xml:space="preserve"> </w:t>
      </w:r>
      <w:r>
        <w:t xml:space="preserve">licence at https://github.com/Institute-of-One/ctsegdose-core, release</w:t>
      </w:r>
      <w:r>
        <w:t xml:space="preserve"> </w:t>
      </w:r>
      <w:r>
        <w:t xml:space="preserve">v0.1.1 (commit 46edee6423ddc19b47efae180d8edf527299d066), archived at Zenodo under</w:t>
      </w:r>
      <w:r>
        <w:t xml:space="preserve"> </w:t>
      </w:r>
      <w:r>
        <w:t xml:space="preserve">10.5281/zenodo.21817307. The machine-readable results the manuscript quotes, the per-organ</w:t>
      </w:r>
      <w:r>
        <w:t xml:space="preserve"> </w:t>
      </w:r>
      <w:r>
        <w:t xml:space="preserve">records, the analysis tables, the acquisition-parameter check and the figure scripts are</w:t>
      </w:r>
      <w:r>
        <w:t xml:space="preserve"> </w:t>
      </w:r>
      <w:r>
        <w:t xml:space="preserve">included in that repository, together with the mask-review overlays underlying Section 4.</w:t>
      </w:r>
    </w:p>
    <w:p>
      <w:pPr>
        <w:pStyle w:val="BodyText"/>
      </w:pPr>
      <w:r>
        <w:t xml:space="preserve">No DICOM imaging is redistributed. Every series analysed is identified in</w:t>
      </w:r>
      <w:r>
        <w:t xml:space="preserve"> </w:t>
      </w:r>
      <w:r>
        <w:rPr>
          <w:rStyle w:val="VerbatimChar"/>
        </w:rPr>
        <w:t xml:space="preserve">data/PROVENANCE.json</w:t>
      </w:r>
      <w:r>
        <w:t xml:space="preserve"> </w:t>
      </w:r>
      <w:r>
        <w:t xml:space="preserve">by collection, collection DOI, Series Instance UID, manufacturer,</w:t>
      </w:r>
      <w:r>
        <w:t xml:space="preserve"> </w:t>
      </w:r>
      <w:r>
        <w:t xml:space="preserve">model, licence and retrieval date, and is retrievable directly from The Cancer Imaging</w:t>
      </w:r>
      <w:r>
        <w:t xml:space="preserve"> </w:t>
      </w:r>
      <w:r>
        <w:t xml:space="preserve">Archive by following</w:t>
      </w:r>
      <w:r>
        <w:t xml:space="preserve"> </w:t>
      </w:r>
      <w:r>
        <w:rPr>
          <w:rStyle w:val="VerbatimChar"/>
        </w:rPr>
        <w:t xml:space="preserve">docs/REPRODUCING_DATA.md</w:t>
      </w:r>
      <w:r>
        <w:t xml:space="preserve">. The forty series were retrieved under</w:t>
      </w:r>
      <w:r>
        <w:t xml:space="preserve"> </w:t>
      </w:r>
      <w:r>
        <w:t xml:space="preserve">Creative Commons Attribution licences (33 under CC BY 4.0, 7 under CC BY 3.0) as recorded</w:t>
      </w:r>
      <w:r>
        <w:t xml:space="preserve"> </w:t>
      </w:r>
      <w:r>
        <w:t xml:space="preserve">per series; the licence terms of each originating collection and the TCIA Data Usage</w:t>
      </w:r>
      <w:r>
        <w:t xml:space="preserve"> </w:t>
      </w:r>
      <w:r>
        <w:t xml:space="preserve">Policy apply.</w:t>
      </w:r>
    </w:p>
    <w:p>
      <w:pPr>
        <w:pStyle w:val="BodyText"/>
      </w:pPr>
      <w:r>
        <w:rPr>
          <w:highlight w:val="yellow"/>
        </w:rPr>
        <w:t xml:space="preserve">Segmentation used TotalSegmentator [8]. Its software code is distributed under the Apache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2.0 licence, and the</w:t>
      </w:r>
      <w:r>
        <w:rPr>
          <w:highlight w:val="yellow"/>
        </w:rPr>
        <w:t xml:space="preserve"> </w:t>
      </w:r>
      <w:r>
        <w:rPr>
          <w:rStyle w:val="VerbatimChar"/>
          <w:highlight w:val="yellow"/>
        </w:rPr>
        <w:t xml:space="preserve">total</w:t>
      </w:r>
      <w:r>
        <w:rPr>
          <w:highlight w:val="yellow"/>
        </w:rPr>
        <w:t xml:space="preserve"> </w:t>
      </w:r>
      <w:r>
        <w:rPr>
          <w:highlight w:val="yellow"/>
        </w:rPr>
        <w:t xml:space="preserve">task model weights used here are likewise stated by the</w:t>
      </w:r>
      <w:r>
        <w:rPr>
          <w:highlight w:val="yellow"/>
        </w:rPr>
        <w:t xml:space="preserve"> </w:t>
      </w:r>
      <w:r>
        <w:rPr>
          <w:highlight w:val="yellow"/>
        </w:rPr>
        <w:t xml:space="preserve">project to be openly available under Apache 2.0; other tasks in that project require a</w:t>
      </w:r>
      <w:r>
        <w:rPr>
          <w:highlight w:val="yellow"/>
        </w:rPr>
        <w:t xml:space="preserve"> </w:t>
      </w:r>
      <w:r>
        <w:rPr>
          <w:highlight w:val="yellow"/>
        </w:rPr>
        <w:t xml:space="preserve">separate licence and were not used. No model weights are redistributed with this work.</w:t>
      </w:r>
    </w:p>
    <w:p>
      <w:pPr>
        <w:pStyle w:val="BodyText"/>
      </w:pPr>
      <w:r>
        <w:t xml:space="preserve">No organ-dose coefficient table is redistributed, for the licensing reasons set out in</w:t>
      </w:r>
      <w:r>
        <w:t xml:space="preserve"> </w:t>
      </w:r>
      <w:r>
        <w:t xml:space="preserve">Section 4.</w:t>
      </w:r>
    </w:p>
    <w:bookmarkEnd w:id="56"/>
    <w:bookmarkStart w:id="57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representative of LISIT Co., Ltd. (Tokyo, Japan) and Chief Executive</w:t>
      </w:r>
      <w:r>
        <w:t xml:space="preserve"> </w:t>
      </w:r>
      <w:r>
        <w:t xml:space="preserve">Officer of TexelCraft OÜ (Estonia), and has a commercial interest in downstream products</w:t>
      </w:r>
      <w:r>
        <w:t xml:space="preserve"> </w:t>
      </w:r>
      <w:r>
        <w:t xml:space="preserve">that may incorporate or build upon the methods described here. The software reported in</w:t>
      </w:r>
      <w:r>
        <w:t xml:space="preserve"> </w:t>
      </w:r>
      <w:r>
        <w:t xml:space="preserve">this article is released under the MIT licence. No patient data, customer data or</w:t>
      </w:r>
      <w:r>
        <w:t xml:space="preserve"> </w:t>
      </w:r>
      <w:r>
        <w:t xml:space="preserve">proprietary clinical data were used; all imaging is publicly available and de-identified.</w:t>
      </w:r>
    </w:p>
    <w:bookmarkEnd w:id="57"/>
    <w:bookmarkStart w:id="58" w:name="X662c2d66dd1eda3268d2087202c966cd73b2601"/>
    <w:p>
      <w:pPr>
        <w:pStyle w:val="Heading2"/>
      </w:pPr>
      <w:r>
        <w:t xml:space="preserve">Use of Generative Artificial Intelligence</w:t>
      </w:r>
    </w:p>
    <w:p>
      <w:pPr>
        <w:pStyle w:val="FirstParagraph"/>
      </w:pPr>
      <w:r>
        <w:t xml:space="preserve">A generative artificial intelligence assistant (Claude, Anthropic) was used as a tool in</w:t>
      </w:r>
      <w:r>
        <w:t xml:space="preserve"> </w:t>
      </w:r>
      <w:r>
        <w:t xml:space="preserve">the development of the software and in drafting and editing the text of this manuscript.</w:t>
      </w:r>
      <w:r>
        <w:t xml:space="preserve"> </w:t>
      </w:r>
      <w:r>
        <w:t xml:space="preserve">All reported results are produced by executable code contained in the cited repository,</w:t>
      </w:r>
      <w:r>
        <w:t xml:space="preserve"> </w:t>
      </w:r>
      <w:r>
        <w:t xml:space="preserve">are re-derived from the underlying per-series records by an automated test suite, and were</w:t>
      </w:r>
      <w:r>
        <w:t xml:space="preserve"> </w:t>
      </w:r>
      <w:r>
        <w:t xml:space="preserve">verified by the author. All scientific judgements, interpretations and conclusions are the</w:t>
      </w:r>
      <w:r>
        <w:t xml:space="preserve"> </w:t>
      </w:r>
      <w:r>
        <w:t xml:space="preserve">author’s, who takes full responsibility for the content of this article.</w:t>
      </w:r>
    </w:p>
    <w:bookmarkEnd w:id="58"/>
    <w:bookmarkStart w:id="5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McCollough, C.H.; Leng, S.; Yu, L.; Cody, D.D.; Boone, J.M.; McNitt-Gray, M.F. CT Dose</w:t>
      </w:r>
      <w:r>
        <w:t xml:space="preserve"> </w:t>
      </w:r>
      <w:r>
        <w:t xml:space="preserve">Index and Patient Dose: They Are Not the Same Thing.</w:t>
      </w:r>
      <w:r>
        <w:t xml:space="preserve"> </w:t>
      </w:r>
      <w:r>
        <w:rPr>
          <w:i/>
          <w:iCs/>
        </w:rPr>
        <w:t xml:space="preserve">Radiology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259</w:t>
      </w:r>
      <w:r>
        <w:t xml:space="preserve">,</w:t>
      </w:r>
      <w:r>
        <w:t xml:space="preserve"> </w:t>
      </w:r>
      <w:r>
        <w:t xml:space="preserve">311–316. https://doi.org/10.1148/radiol.11101800</w:t>
      </w:r>
    </w:p>
    <w:p>
      <w:pPr>
        <w:pStyle w:val="Compact"/>
        <w:numPr>
          <w:ilvl w:val="0"/>
          <w:numId w:val="1001"/>
        </w:numPr>
      </w:pPr>
      <w:r>
        <w:t xml:space="preserve">Kalra, M.K. Automatic Exposure Control in Multidetector-row CT. In</w:t>
      </w:r>
      <w:r>
        <w:t xml:space="preserve"> </w:t>
      </w:r>
      <w:r>
        <w:rPr>
          <w:i/>
          <w:iCs/>
        </w:rPr>
        <w:t xml:space="preserve">Medical Radiology</w:t>
      </w:r>
      <w:r>
        <w:t xml:space="preserve">; Springer: Berlin, Heidelberg, 2011; pp. 259-272. https://doi.org/10.1007/174_2011_480.</w:t>
      </w:r>
    </w:p>
    <w:p>
      <w:pPr>
        <w:pStyle w:val="Compact"/>
        <w:numPr>
          <w:ilvl w:val="0"/>
          <w:numId w:val="1001"/>
        </w:numPr>
      </w:pPr>
      <w:r>
        <w:t xml:space="preserve">Khatonabadi, M.; Kim, H.J.; Lu, P.; McMillan, K.L.; Cagnon, C.H.; DeMarco, J.J.;</w:t>
      </w:r>
      <w:r>
        <w:t xml:space="preserve"> </w:t>
      </w:r>
      <w:r>
        <w:t xml:space="preserve">McNitt-Gray, M.F. The Feasibility of a Regional CTDIvol to Estimate Organ Dose from</w:t>
      </w:r>
      <w:r>
        <w:t xml:space="preserve"> </w:t>
      </w:r>
      <w:r>
        <w:t xml:space="preserve">Tube Current Modulated CT Exams.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, 051903.</w:t>
      </w:r>
      <w:r>
        <w:t xml:space="preserve"> </w:t>
      </w:r>
      <w:r>
        <w:t xml:space="preserve">https://doi.org/10.1118/1.4798561</w:t>
      </w:r>
    </w:p>
    <w:p>
      <w:pPr>
        <w:pStyle w:val="Compact"/>
        <w:numPr>
          <w:ilvl w:val="0"/>
          <w:numId w:val="1001"/>
        </w:numPr>
      </w:pPr>
      <w:r>
        <w:t xml:space="preserve">Tian, X.; Li, X.; Segars, W.P.; Frush, D.P.; Samei, E. Prospective Estimation of Organ</w:t>
      </w:r>
      <w:r>
        <w:t xml:space="preserve"> </w:t>
      </w:r>
      <w:r>
        <w:t xml:space="preserve">Dose in CT under Tube Current Modulation.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, 1575–1585.</w:t>
      </w:r>
      <w:r>
        <w:t xml:space="preserve"> </w:t>
      </w:r>
      <w:r>
        <w:t xml:space="preserve">https://doi.org/10.1118/1.4907955</w:t>
      </w:r>
    </w:p>
    <w:p>
      <w:pPr>
        <w:pStyle w:val="Compact"/>
        <w:numPr>
          <w:ilvl w:val="0"/>
          <w:numId w:val="1001"/>
        </w:numPr>
      </w:pPr>
      <w:r>
        <w:t xml:space="preserve">Li, X.; Marschall, T.A.; Yang, K.; Liu, B. Technical Note: Advancing Size-Specific</w:t>
      </w:r>
      <w:r>
        <w:t xml:space="preserve"> </w:t>
      </w:r>
      <w:r>
        <w:t xml:space="preserve">Dose Estimates in CT Examinations: Dose Estimates at Longitudinal Positions of Scans.</w:t>
      </w:r>
      <w:r>
        <w:t xml:space="preserve"> </w:t>
      </w:r>
      <w:r>
        <w:rPr>
          <w:i/>
          <w:iCs/>
        </w:rPr>
        <w:t xml:space="preserve">Med. Phys.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1303–1311. https://doi.org/10.1002/mp.15402</w:t>
      </w:r>
    </w:p>
    <w:p>
      <w:pPr>
        <w:pStyle w:val="Compact"/>
        <w:numPr>
          <w:ilvl w:val="0"/>
          <w:numId w:val="1001"/>
        </w:numPr>
      </w:pPr>
      <w:r>
        <w:t xml:space="preserve">Nuntue, C.; Matsubara, K.; Watanabe, S.; Fukushima, K.; Tantiwetchayanon, K. Improved</w:t>
      </w:r>
      <w:r>
        <w:t xml:space="preserve"> </w:t>
      </w:r>
      <w:r>
        <w:t xml:space="preserve">Organ Absorbed Dose Estimation in Abdominal CT Using DICOM Header-Based Tube Current</w:t>
      </w:r>
      <w:r>
        <w:t xml:space="preserve"> </w:t>
      </w:r>
      <w:r>
        <w:t xml:space="preserve">Modulation Profiles: Validation with Measurements and Monte Carlo Simulations.</w:t>
      </w:r>
      <w:r>
        <w:t xml:space="preserve"> </w:t>
      </w:r>
      <w:r>
        <w:rPr>
          <w:i/>
          <w:iCs/>
        </w:rPr>
        <w:t xml:space="preserve">J.</w:t>
      </w:r>
      <w:r>
        <w:rPr>
          <w:i/>
          <w:iCs/>
        </w:rPr>
        <w:t xml:space="preserve"> </w:t>
      </w:r>
      <w:r>
        <w:rPr>
          <w:i/>
          <w:iCs/>
        </w:rPr>
        <w:t xml:space="preserve">Appl. Clin. Med. Phys.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e70321. https://doi.org/10.1002/acm2.70321</w:t>
      </w:r>
    </w:p>
    <w:p>
      <w:pPr>
        <w:pStyle w:val="Compact"/>
        <w:numPr>
          <w:ilvl w:val="0"/>
          <w:numId w:val="1001"/>
        </w:numPr>
      </w:pPr>
      <w:r>
        <w:t xml:space="preserve">Eom, Y.; Park, Y.-J.; Lee, S.; Lee, S.-J.; An, Y.-S.; Park, B.-N.; Yoon, J.-K.</w:t>
      </w:r>
      <w:r>
        <w:t xml:space="preserve"> </w:t>
      </w:r>
      <w:r>
        <w:t xml:space="preserve">Automated Measurement of Effective Radiation Dose by 18F-Fluorodeoxyglucose Positron</w:t>
      </w:r>
      <w:r>
        <w:t xml:space="preserve"> </w:t>
      </w:r>
      <w:r>
        <w:t xml:space="preserve">Emission Tomography/Computed Tomography.</w:t>
      </w:r>
      <w:r>
        <w:t xml:space="preserve"> </w:t>
      </w:r>
      <w:r>
        <w:rPr>
          <w:i/>
          <w:iCs/>
        </w:rPr>
        <w:t xml:space="preserve">Tomography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, 2144–2157.</w:t>
      </w:r>
      <w:r>
        <w:t xml:space="preserve"> </w:t>
      </w:r>
      <w:r>
        <w:t xml:space="preserve">https://doi.org/10.3390/tomography10120151</w:t>
      </w:r>
    </w:p>
    <w:p>
      <w:pPr>
        <w:pStyle w:val="Compact"/>
        <w:numPr>
          <w:ilvl w:val="0"/>
          <w:numId w:val="1001"/>
        </w:numPr>
      </w:pPr>
      <w:r>
        <w:t xml:space="preserve">Wasserthal, J.; Breit, H.-C.; Meyer, M.T.; Pradella, M.; Hinck, D.; Sauter, A.W.; Heye,</w:t>
      </w:r>
      <w:r>
        <w:t xml:space="preserve"> </w:t>
      </w:r>
      <w:r>
        <w:t xml:space="preserve">T.; Boll, D.T.; Cyriac, J.; Yang, S.; Bach, M.; Segeroth, M. TotalSegmentator: Robust</w:t>
      </w:r>
      <w:r>
        <w:t xml:space="preserve"> </w:t>
      </w:r>
      <w:r>
        <w:t xml:space="preserve">Segmentation of 104 Anatomic Structures in CT Images.</w:t>
      </w:r>
      <w:r>
        <w:t xml:space="preserve"> </w:t>
      </w:r>
      <w:r>
        <w:rPr>
          <w:i/>
          <w:iCs/>
        </w:rPr>
        <w:t xml:space="preserve">Radiol. Artif. Intell.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5</w:t>
      </w:r>
      <w:r>
        <w:t xml:space="preserve">, e230024. https://doi.org/10.1148/ryai.230024</w:t>
      </w:r>
    </w:p>
    <w:p>
      <w:pPr>
        <w:pStyle w:val="Compact"/>
        <w:numPr>
          <w:ilvl w:val="0"/>
          <w:numId w:val="1001"/>
        </w:numPr>
      </w:pPr>
      <w:r>
        <w:t xml:space="preserve">Isensee, F.; Jaeger, P.F.; Kohl, S.A.A.; Petersen, J.; Maier-Hein, K.H. nnU-Net: A</w:t>
      </w:r>
      <w:r>
        <w:t xml:space="preserve"> </w:t>
      </w:r>
      <w:r>
        <w:t xml:space="preserve">Self-Configuring Method for Deep Learning-Based Biomedical Image Segmentation.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Methods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203–211. https://doi.org/10.1038/s41592-020-01008-z</w:t>
      </w:r>
    </w:p>
    <w:p>
      <w:pPr>
        <w:pStyle w:val="Compact"/>
        <w:numPr>
          <w:ilvl w:val="0"/>
          <w:numId w:val="1001"/>
        </w:numPr>
      </w:pPr>
      <w:r>
        <w:t xml:space="preserve">ICRP. Basic Anatomical and Physiological Data for Use in Radiological Protection:</w:t>
      </w:r>
      <w:r>
        <w:t xml:space="preserve"> </w:t>
      </w:r>
      <w:r>
        <w:t xml:space="preserve">Reference Values. ICRP Publication 89.</w:t>
      </w:r>
      <w:r>
        <w:t xml:space="preserve"> </w:t>
      </w:r>
      <w:r>
        <w:rPr>
          <w:i/>
          <w:iCs/>
        </w:rPr>
        <w:t xml:space="preserve">Ann. ICRP</w:t>
      </w:r>
      <w:r>
        <w:t xml:space="preserve"> </w:t>
      </w:r>
      <w:r>
        <w:rPr>
          <w:b/>
          <w:bCs/>
        </w:rPr>
        <w:t xml:space="preserve">2002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 </w:t>
      </w:r>
      <w:r>
        <w:t xml:space="preserve">(3–4).</w:t>
      </w:r>
    </w:p>
    <w:p>
      <w:pPr>
        <w:pStyle w:val="Compact"/>
        <w:numPr>
          <w:ilvl w:val="0"/>
          <w:numId w:val="1001"/>
        </w:numPr>
      </w:pPr>
      <w:r>
        <w:t xml:space="preserve">Moore, S.M.; Maffitt, D.R.; Smith, K.E.; Kirby, J.S.; Clark, K.W.; Freymann, J.B.; Vendt, B.A.; Tarbox, L.R.; Prior, F.W. De-identification of Medical Images with Retention of Scientific Research Value. RadioGraphics 2015, 35, 727-735. https://doi.org/10.1148/rg.2015140244.</w:t>
      </w:r>
    </w:p>
    <w:p>
      <w:pPr>
        <w:pStyle w:val="Compact"/>
        <w:numPr>
          <w:ilvl w:val="0"/>
          <w:numId w:val="1001"/>
        </w:numPr>
      </w:pPr>
      <w:r>
        <w:t xml:space="preserve">Clark, K.; Vendt, B.; Smith, K.; Freymann, J.; Kirby, J.; Koppel, P.; Moore, S.;</w:t>
      </w:r>
      <w:r>
        <w:t xml:space="preserve"> </w:t>
      </w:r>
      <w:r>
        <w:t xml:space="preserve">Phillips, S.; Maffitt, D.; Pringle, M.; Tarbox, L.; Prior, F. The Cancer Imaging</w:t>
      </w:r>
      <w:r>
        <w:t xml:space="preserve"> </w:t>
      </w:r>
      <w:r>
        <w:t xml:space="preserve">Archive (TCIA): Maintaining and Operating a Public Information Repository.</w:t>
      </w:r>
      <w:r>
        <w:t xml:space="preserve"> </w:t>
      </w:r>
      <w:r>
        <w:rPr>
          <w:i/>
          <w:iCs/>
        </w:rPr>
        <w:t xml:space="preserve">J. Digit.</w:t>
      </w:r>
      <w:r>
        <w:rPr>
          <w:i/>
          <w:iCs/>
        </w:rPr>
        <w:t xml:space="preserve"> </w:t>
      </w:r>
      <w:r>
        <w:rPr>
          <w:i/>
          <w:iCs/>
        </w:rPr>
        <w:t xml:space="preserve">Imaging</w:t>
      </w:r>
      <w:r>
        <w:t xml:space="preserve"> </w:t>
      </w:r>
      <w:r>
        <w:rPr>
          <w:b/>
          <w:bCs/>
        </w:rPr>
        <w:t xml:space="preserve">2013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, 1045–1057. https://doi.org/10.1007/s10278-013-9622-7</w:t>
      </w:r>
    </w:p>
    <w:p>
      <w:pPr>
        <w:pStyle w:val="Compact"/>
        <w:numPr>
          <w:ilvl w:val="0"/>
          <w:numId w:val="1001"/>
        </w:numPr>
      </w:pPr>
      <w:r>
        <w:t xml:space="preserve">Yamamoto, S. ctdose-core: open, auditable CT dose surveillance from DICOM, with a</w:t>
      </w:r>
      <w:r>
        <w:t xml:space="preserve"> </w:t>
      </w:r>
      <w:r>
        <w:t xml:space="preserve">physics reconstruction when the dose attributes are missing (Version 0.1.1)</w:t>
      </w:r>
      <w:r>
        <w:t xml:space="preserve"> </w:t>
      </w:r>
      <w:r>
        <w:t xml:space="preserve">[Software]. Zenodo,</w:t>
      </w:r>
      <w:r>
        <w:t xml:space="preserve"> </w:t>
      </w:r>
      <w:r>
        <w:rPr>
          <w:b/>
          <w:bCs/>
        </w:rPr>
        <w:t xml:space="preserve">2026</w:t>
      </w:r>
      <w:r>
        <w:t xml:space="preserve">. https://doi.org/10.5281/zenodo.21636719</w:t>
      </w:r>
    </w:p>
    <w:p>
      <w:pPr>
        <w:pStyle w:val="Compact"/>
        <w:numPr>
          <w:ilvl w:val="0"/>
          <w:numId w:val="1001"/>
        </w:numPr>
      </w:pPr>
      <w:r>
        <w:t xml:space="preserve">Isensee, F.; Wald, T.; Ulrich, C.; Baumgartner, M.; Roy, S.; Maier-Hein, K.; Jaeger, P.F. nnU-Net Revisited: A Call for Rigorous Validation in 3D Medical Image Segmentation. In</w:t>
      </w:r>
      <w:r>
        <w:t xml:space="preserve"> </w:t>
      </w:r>
      <w:r>
        <w:rPr>
          <w:i/>
          <w:iCs/>
        </w:rPr>
        <w:t xml:space="preserve">Lecture Notes in Computer Science</w:t>
      </w:r>
      <w:r>
        <w:t xml:space="preserve">; Springer: Cham, 2024; pp. 488-498. https://doi.org/10.1007/978-3-031-72114-4_47.</w:t>
      </w:r>
    </w:p>
    <w:p>
      <w:pPr>
        <w:pStyle w:val="Compact"/>
        <w:numPr>
          <w:ilvl w:val="0"/>
          <w:numId w:val="1001"/>
        </w:numPr>
      </w:pPr>
      <w:r>
        <w:t xml:space="preserve">McCollough, C.; Bakalyar, D.M.; Bostani, M.; Brady, S.; Boedeker, K.; Boone, J.M.;</w:t>
      </w:r>
      <w:r>
        <w:t xml:space="preserve"> </w:t>
      </w:r>
      <w:r>
        <w:t xml:space="preserve">Chen-Mayer, H.H.; Christianson, O.I.; Leng, S.; Li, B.; et al. Use of Water Equivalent</w:t>
      </w:r>
      <w:r>
        <w:t xml:space="preserve"> </w:t>
      </w:r>
      <w:r>
        <w:t xml:space="preserve">Diameter for Calculating Patient Size and Size-Specific Dose Estimates (SSDE) in CT:</w:t>
      </w:r>
      <w:r>
        <w:t xml:space="preserve"> </w:t>
      </w:r>
      <w:r>
        <w:t xml:space="preserve">The Report of AAPM Task Group 220.</w:t>
      </w:r>
      <w:r>
        <w:t xml:space="preserve"> </w:t>
      </w:r>
      <w:r>
        <w:rPr>
          <w:i/>
          <w:iCs/>
        </w:rPr>
        <w:t xml:space="preserve">AAPM Report No. 220</w:t>
      </w:r>
      <w:r>
        <w:t xml:space="preserve">,</w:t>
      </w:r>
      <w:r>
        <w:t xml:space="preserve"> </w:t>
      </w:r>
      <w:r>
        <w:rPr>
          <w:b/>
          <w:bCs/>
        </w:rPr>
        <w:t xml:space="preserve">2014</w:t>
      </w:r>
      <w:r>
        <w:t xml:space="preserve">.</w:t>
      </w:r>
      <w:r>
        <w:t xml:space="preserve"> </w:t>
      </w:r>
      <w:r>
        <w:t xml:space="preserve">https://doi.org/10.37206/146</w:t>
      </w:r>
    </w:p>
    <w:p>
      <w:pPr>
        <w:pStyle w:val="Compact"/>
        <w:numPr>
          <w:ilvl w:val="0"/>
          <w:numId w:val="1001"/>
        </w:numPr>
      </w:pPr>
      <w:r>
        <w:t xml:space="preserve">ICRU. Tissue Substitutes in Radiation Dosimetry and Measurement. ICRU Report 44; ICRU:</w:t>
      </w:r>
      <w:r>
        <w:t xml:space="preserve"> </w:t>
      </w:r>
      <w:r>
        <w:t xml:space="preserve">Bethesda, MD, USA,</w:t>
      </w:r>
      <w:r>
        <w:t xml:space="preserve"> </w:t>
      </w:r>
      <w:r>
        <w:rPr>
          <w:b/>
          <w:bCs/>
        </w:rPr>
        <w:t xml:space="preserve">1989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Schneider, U.; Pedroni, E.; Lomax, A. The Calibration of CT Hounsfield Units for</w:t>
      </w:r>
      <w:r>
        <w:t xml:space="preserve"> </w:t>
      </w:r>
      <w:r>
        <w:t xml:space="preserve">Radiotherapy Treatment Planning.</w:t>
      </w:r>
      <w:r>
        <w:t xml:space="preserve"> </w:t>
      </w:r>
      <w:r>
        <w:rPr>
          <w:i/>
          <w:iCs/>
        </w:rPr>
        <w:t xml:space="preserve">Phys. Med. Biol.</w:t>
      </w:r>
      <w:r>
        <w:t xml:space="preserve"> </w:t>
      </w:r>
      <w:r>
        <w:rPr>
          <w:b/>
          <w:bCs/>
        </w:rPr>
        <w:t xml:space="preserve">1996</w:t>
      </w:r>
      <w:r>
        <w:t xml:space="preserve">,</w:t>
      </w:r>
      <w:r>
        <w:t xml:space="preserve"> </w:t>
      </w:r>
      <w:r>
        <w:rPr>
          <w:i/>
          <w:iCs/>
        </w:rPr>
        <w:t xml:space="preserve">41</w:t>
      </w:r>
      <w:r>
        <w:t xml:space="preserve">, 111–124.</w:t>
      </w:r>
      <w:r>
        <w:t xml:space="preserve"> </w:t>
      </w:r>
      <w:r>
        <w:t xml:space="preserve">https://doi.org/10.1088/0031-9155/41/1/009</w:t>
      </w:r>
    </w:p>
    <w:p>
      <w:pPr>
        <w:pStyle w:val="Compact"/>
        <w:numPr>
          <w:ilvl w:val="0"/>
          <w:numId w:val="1001"/>
        </w:numPr>
      </w:pPr>
      <w:r>
        <w:t xml:space="preserve">Dinwiddie, L.E.; Baggett, J.M.; Kofler, J.M.; et al. Survey of Normalized CTDIvol</w:t>
      </w:r>
      <w:r>
        <w:t xml:space="preserve"> </w:t>
      </w:r>
      <w:r>
        <w:t xml:space="preserve">Values Across Four Major Computed Tomography Vendors for Use in the MIRDct Software.</w:t>
      </w:r>
      <w:r>
        <w:t xml:space="preserve"> </w:t>
      </w:r>
      <w:r>
        <w:rPr>
          <w:i/>
          <w:iCs/>
        </w:rPr>
        <w:t xml:space="preserve">J. Appl. Clin. Med. Phys.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, e70473. https://doi.org/10.1002/acm2.70473</w:t>
      </w:r>
    </w:p>
    <w:p>
      <w:pPr>
        <w:pStyle w:val="Compact"/>
        <w:numPr>
          <w:ilvl w:val="0"/>
          <w:numId w:val="1001"/>
        </w:numPr>
      </w:pPr>
      <w:r>
        <w:t xml:space="preserve">Boos, J.; Meineke, A.; Rubbert, C.; Heusch, P.; Lanzman, R.S.; Aissa, J.; Antoch, G.; Kroepil, P. Dose Monitoring Using the DICOM Structured Report: Assessment of the Relationship between Cumulative Radiation Exposure and Body Mass Index in Abdominal CT.</w:t>
      </w:r>
      <w:r>
        <w:t xml:space="preserve"> </w:t>
      </w:r>
      <w:r>
        <w:rPr>
          <w:i/>
          <w:iCs/>
        </w:rPr>
        <w:t xml:space="preserve">Clin. Radiol.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, 176-182. https://doi.org/10.1016/j.crad.2014.11.002.</w:t>
      </w:r>
    </w:p>
    <w:p>
      <w:pPr>
        <w:pStyle w:val="Compact"/>
        <w:numPr>
          <w:ilvl w:val="0"/>
          <w:numId w:val="1001"/>
        </w:numPr>
      </w:pPr>
      <w:r>
        <w:t xml:space="preserve">Zucker, E.J.; Barnes, J.B.; Seguin, C.; Chatfield, M.; Newman, B. Radiologist Compliance With California CT Dose Reporting Requirements: A Single-Center Review of Pediatric Chest CT.</w:t>
      </w:r>
      <w:r>
        <w:t xml:space="preserve"> </w:t>
      </w:r>
      <w:r>
        <w:rPr>
          <w:i/>
          <w:iCs/>
        </w:rPr>
        <w:t xml:space="preserve">AJR Am. J. Roentgenol.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204</w:t>
      </w:r>
      <w:r>
        <w:t xml:space="preserve">, 810-816. https://doi.org/10.2214/ajr.14.13693.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2026-08-26T15:13:41Z</dcterms:created>
  <dcterms:modified xsi:type="dcterms:W3CDTF">2026-08-26T15:13:41Z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