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71.png" ContentType="image/png"/>
  <Override PartName="/word/media/rId43.png" ContentType="image/png"/>
  <Override PartName="/word/media/rId46.png" ContentType="image/png"/>
  <Override PartName="/word/media/rId5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2c6eccb9da101dd4eb69442f328f2c754e48906"/>
    <w:p>
      <w:pPr>
        <w:pStyle w:val="Heading1"/>
      </w:pPr>
      <w:r>
        <w:t xml:space="preserve">Mathematical characterization of task detectability limits in AI-denoised CT: implications for task-based dose optimization</w:t>
      </w:r>
    </w:p>
    <w:p>
      <w:pPr>
        <w:pStyle w:val="FirstParagraph"/>
      </w:pPr>
      <w:r>
        <w:rPr>
          <w:b/>
          <w:bCs/>
        </w:rPr>
        <w:t xml:space="preserve">Shuji Yamamoto</w:t>
      </w:r>
      <w:r>
        <w:t xml:space="preserve"> </w:t>
      </w:r>
      <w:r>
        <w:t xml:space="preserve">Institute of One, LISIT Co., Ltd., Tokyo 150-0044, Japan</w:t>
      </w:r>
      <w:r>
        <w:t xml:space="preserve"> </w:t>
      </w:r>
      <w:r>
        <w:t xml:space="preserve">yamamoto@lisit.jp · ORCID 0000-0001-9211-1071</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reference-based fidelity metrics and is widely held thereby to permit dose reduction. That does not follow: processing cannot add task information.</w:t>
      </w:r>
    </w:p>
    <w:p>
      <w:pPr>
        <w:pStyle w:val="BodyText"/>
      </w:pPr>
      <w:r>
        <w:rPr>
          <w:b/>
          <w:bCs/>
        </w:rPr>
        <w:t xml:space="preserve">Purpose.</w:t>
      </w:r>
      <w:r>
        <w:t xml:space="preserve"> </w:t>
      </w:r>
      <w:r>
        <w:t xml:space="preserve">To characterize task detectability limits in denoised CT by separating the detectability an input offers an ideal observer from that a specified observer achieves, and thereby compare the exposure each method needs.</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Each arm is referenced to its unprocessed input and its analytic ceiling [1,2]. Residual CNNs trained on 8 cases were evaluated on 4 never-seen cases, at two capacities, each paired with a counterpart differing only in an adversarial objective. Exposure was compared on a dose simulation rescaling the collection’s measured noise, against</w:t>
      </w:r>
      <w:r>
        <w:t xml:space="preserve"> </w:t>
      </w:r>
      <w:r>
        <w:rPr>
          <w:rStyle w:val="VerbatimChar"/>
        </w:rPr>
        <w:t xml:space="preserve">d'</w:t>
      </w:r>
      <w:r>
        <w:t xml:space="preserve"> </w:t>
      </w:r>
      <w:r>
        <w:t xml:space="preserve">≥ 5.</w:t>
      </w:r>
    </w:p>
    <w:p>
      <w:pPr>
        <w:pStyle w:val="BodyText"/>
      </w:pPr>
      <w:r>
        <w:rPr>
          <w:b/>
          <w:bCs/>
        </w:rPr>
        <w:t xml:space="preserve">Results.</w:t>
      </w:r>
      <w:r>
        <w:t xml:space="preserve"> </w:t>
      </w:r>
      <w:r>
        <w:t xml:space="preserve">88.2% of evaluations improved fidelity while detectability fell; denoising helped the inefficient observer more (+1.13). On real data PSNR ranked 9 methods against</w:t>
      </w:r>
      <w:r>
        <w:t xml:space="preserve"> </w:t>
      </w:r>
      <w:r>
        <w:rPr>
          <w:rStyle w:val="VerbatimChar"/>
        </w:rPr>
        <w:t xml:space="preserve">d'</w:t>
      </w:r>
      <w:r>
        <w:t xml:space="preserve"> </w:t>
      </w:r>
      <w:r>
        <w:t xml:space="preserve">at ρ -0.08, the best-PSNR method ranking 7 of 9 on the task, and 0 arms exceeded the ceiling. The adversarial arms showed no detected increase in lesion-shaped response. Unprocessed images met the criterion to 0.187 of routine exposure; 7 of 8 processed arms needed more.</w:t>
      </w:r>
    </w:p>
    <w:p>
      <w:pPr>
        <w:pStyle w:val="BodyText"/>
      </w:pPr>
      <w:r>
        <w:rPr>
          <w:b/>
          <w:bCs/>
        </w:rPr>
        <w:t xml:space="preserve">Conclusions.</w:t>
      </w:r>
      <w:r>
        <w:t xml:space="preserve"> </w:t>
      </w:r>
      <w:r>
        <w:t xml:space="preserve">Separating the input’s ceiling from achieved detectability allows exposure requirements to be compared against a defined criterion. Fidelity gains alone did not establish task preservation.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characterized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characterized two generations of a deep-learning reconstruction against noise power spectrum, task transfer function and a detectability index across dose [11,12]; Fan et al. evaluated a deep-CNN reconstruction with a channelized Hotelling observer on the ACR phantom [13]; and Tivnan et al. optimized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artefact of the estimator, and with repeated realizations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Quantification of fidelity–task divergence across denoisers and imaging conditions, with effect sizes and intervals from repeated independent realizations.</w:t>
      </w:r>
    </w:p>
    <w:p>
      <w:pPr>
        <w:numPr>
          <w:ilvl w:val="0"/>
          <w:numId w:val="1001"/>
        </w:numPr>
      </w:pPr>
      <w:r>
        <w:t xml:space="preserve">Quantification of observer-dependent denoising benefits, comparing a prewhitening observer, a channelized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b/>
          <w:bCs/>
        </w:rPr>
        <w:t xml:space="preserve">What</w:t>
      </w:r>
      <w:r>
        <w:rPr>
          <w:b/>
          <w:bCs/>
        </w:rPr>
        <w:t xml:space="preserve"> </w:t>
      </w:r>
      <w:r>
        <w:rPr>
          <w:b/>
          <w:bCs/>
        </w:rPr>
        <w:t xml:space="preserve">“input”</w:t>
      </w:r>
      <w:r>
        <w:rPr>
          <w:b/>
          <w:bCs/>
        </w:rPr>
        <w:t xml:space="preserve"> </w:t>
      </w:r>
      <w:r>
        <w:rPr>
          <w:b/>
          <w:bCs/>
        </w:rPr>
        <w:t xml:space="preserve">and</w:t>
      </w:r>
      <w:r>
        <w:rPr>
          <w:b/>
          <w:bCs/>
        </w:rPr>
        <w:t xml:space="preserve"> </w:t>
      </w:r>
      <w:r>
        <w:rPr>
          <w:b/>
          <w:bCs/>
        </w:rPr>
        <w:t xml:space="preserve">“unprocessed”</w:t>
      </w:r>
      <w:r>
        <w:rPr>
          <w:b/>
          <w:bCs/>
        </w:rPr>
        <w:t xml:space="preserve"> </w:t>
      </w:r>
      <w:r>
        <w:rPr>
          <w:b/>
          <w:b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channelized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stylized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normalized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mode='nearest'</w:t>
      </w:r>
      <w:r>
        <w:t xml:space="preserve">; total variation is</w:t>
      </w:r>
      <w:r>
        <w:t xml:space="preserve"> </w:t>
      </w:r>
      <w:r>
        <w:rPr>
          <w:rStyle w:val="VerbatimChar"/>
        </w:rPr>
        <w:t xml:space="preserve">skimage.restoration.denoise_tv_chambolle</w:t>
      </w:r>
      <w:r>
        <w:t xml:space="preserve"> </w:t>
      </w:r>
      <w:r>
        <w:t xml:space="preserve">with</w:t>
      </w:r>
      <w:r>
        <w:t xml:space="preserve"> </w:t>
      </w:r>
      <w:r>
        <w:rPr>
          <w:rStyle w:val="VerbatimChar"/>
        </w:rPr>
        <w:t xml:space="preserve">channel_axis=None</w:t>
      </w:r>
      <w:r>
        <w:t xml:space="preserve">, applied to the mean-removed plane with the mean restored so that the filter is shift-invariant; non-local means is</w:t>
      </w:r>
      <w:r>
        <w:t xml:space="preserve"> </w:t>
      </w:r>
      <w:r>
        <w:rPr>
          <w:rStyle w:val="VerbatimChar"/>
        </w:rPr>
        <w:t xml:space="preserve">skimage.restoration.denoise_nl_means</w:t>
      </w:r>
      <w:r>
        <w:t xml:space="preserve"> </w:t>
      </w:r>
      <w:r>
        <w:t xml:space="preserve">with</w:t>
      </w:r>
      <w:r>
        <w:t xml:space="preserve"> </w:t>
      </w:r>
      <w:r>
        <w:rPr>
          <w:rStyle w:val="VerbatimChar"/>
        </w:rPr>
        <w:t xml:space="preserve">fast_mode=True, patch_size=5, patch_distance=6, sigma=h</w:t>
      </w:r>
      <w:r>
        <w:t xml:space="preserve">. Library versions are recorded with the provenance of every run.</w:t>
      </w:r>
    </w:p>
    <w:p>
      <w:pPr>
        <w:pStyle w:val="BodyText"/>
      </w:pPr>
      <w:r>
        <w:rPr>
          <w:b/>
          <w:b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realization, or any other trial’s pixels, and each image is processed independently — all asserted in the test suite.</w:t>
      </w:r>
    </w:p>
    <w:bookmarkEnd w:id="16"/>
    <w:bookmarkStart w:id="20" w:name="X4d64cf410a126746850dd6f680a78a6491db9a0"/>
    <w:p>
      <w:pPr>
        <w:pStyle w:val="Heading3"/>
      </w:pPr>
      <w:r>
        <w:t xml:space="preserve">2.4 Experimental design and independent realizations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realization.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realizations. The first is the seed of the earlier single-realization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realization and are independent by construction. Every realization runs the identical matrix, which makes arms pairable across realizations, and per-realization results are written alongside the aggregate. We report 76 unique arms evaluated across 10 independent realizations — 760 arm–realization evaluations — and never as a single inflated condition count. The representative realization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neighbours, adding a ridge of 0.01 × the mean power, and clamping at 1×10⁻⁶ × the peak; these steps stabilize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quantization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arm–realization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summarize the AUC-saturated arms — those whose analytic ceiling AUC lies within ten quantization steps of 1 — separately, since there the comparison is limited by the resolution of the rank statistic rather than by information.</w:t>
      </w:r>
    </w:p>
    <w:p>
      <w:pPr>
        <w:pStyle w:val="BodyText"/>
      </w:pPr>
      <w:r>
        <w:rPr>
          <w:b/>
          <w:b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realization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b/>
          <w:b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b/>
          <w:b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b/>
          <w:b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normalization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realization share its noise stream, and the arms of a condition share its images. Intervals therefore come from a cluster bootstrap that resamples whole realizations with replacement (4000 replicates, seeded), carrying every arm of a drawn realization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b/>
          <w:b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b/>
          <w:b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b/>
          <w:b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realization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b/>
          <w:b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regularized in three steps, because an estimated spectrum has a zeroed DC bin and small high-frequency values that would otherwise dominate the template: the DC bin is replaced by the mean of its four neighbours,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b/>
          <w:b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b/>
          <w:b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b/>
          <w:b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b/>
          <w:bCs/>
        </w:rPr>
        <w:t xml:space="preserve">What the network is and is not shown.</w:t>
      </w:r>
      <w:r>
        <w:t xml:space="preserve"> </w:t>
      </w:r>
      <w:r>
        <w:t xml:space="preserve">Training pairs are normalized exactly as inference normalizes them, by each image’s own mean and estimated noise level; a network trained in absolute HU and deployed through a normalizing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b/>
          <w:b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minimizing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b/>
          <w:bCs/>
        </w:rPr>
        <w:t xml:space="preserve">Fabrication, with the anatomy cancelled.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1"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realizations, giving 760 arm–realization evaluations and 1,696,000 scored image trials. Endpoints are computed on the 550 processed evaluations, each paired with the unprocessed arm of its own condition and realization. Figures 2 and 3 give the dose response of the representative realization,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realizations, giving 760 arm–realization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z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realization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95 %</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95 %</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zation evaluation, with the divergent quadrant shaded and the per-realiz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realization, as mean [95 % CI] from a bootstrap resampling whole realizations. Columns are the denoisers. PW is the cross-fitted prewhitening observer, CHO the channelized Hotelling observer, NPWE the non-prewhitening observer with an eye filter — a stylized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realization-level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zed Hotelling and non-prewhitening observers, and their difference B, per denoiser with clustered 95 %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 intervals.</w:t>
      </w:r>
    </w:p>
    <w:bookmarkEnd w:id="41"/>
    <w:bookmarkStart w:id="42" w:name="Xa442d0259c45e1e642ead9392172a3be71641e6"/>
    <w:p>
      <w:pPr>
        <w:pStyle w:val="Heading3"/>
      </w:pPr>
      <w:r>
        <w:t xml:space="preserve">3.4 Performance relative to the data-processing ceiling (Figure 6)</w:t>
      </w:r>
    </w:p>
    <w:p>
      <w:pPr>
        <w:pStyle w:val="FirstParagraph"/>
      </w:pPr>
      <w:r>
        <w:t xml:space="preserve">Across 760 arm–realization evaluations the mean excess of the cross-fitted prewhitening AUC over the analytic ceiling of its own input was -0.032, and the largest was 1.64×10⁻⁴.</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quantization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2"/>
    <w:bookmarkStart w:id="49"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4" name="Picture"/>
            <a:graphic>
              <a:graphicData uri="http://schemas.openxmlformats.org/drawingml/2006/picture">
                <pic:pic>
                  <pic:nvPicPr>
                    <pic:cNvPr descr="D:/DevGit/CT-Noise_Core/paper/figures/fig7_redlamp_atlas.png" id="45" name="Picture"/>
                    <pic:cNvPicPr>
                      <a:picLocks noChangeArrowheads="1" noChangeAspect="1"/>
                    </pic:cNvPicPr>
                  </pic:nvPicPr>
                  <pic:blipFill>
                    <a:blip r:embed="rId43"/>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 intervals." title="" id="47" name="Picture"/>
            <a:graphic>
              <a:graphicData uri="http://schemas.openxmlformats.org/drawingml/2006/picture">
                <pic:pic>
                  <pic:nvPicPr>
                    <pic:cNvPr descr="D:/DevGit/CT-Noise_Core/paper/figures/fig8_floor_strata.png" id="48" name="Picture"/>
                    <pic:cNvPicPr>
                      <a:picLocks noChangeArrowheads="1" noChangeAspect="1"/>
                    </pic:cNvPicPr>
                  </pic:nvPicPr>
                  <pic:blipFill>
                    <a:blip r:embed="rId46"/>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t xml:space="preserve">The third hypothesis was supported in one respect and refuted in another.</w:t>
      </w:r>
    </w:p>
    <w:p>
      <w:pPr>
        <w:pStyle w:val="BodyText"/>
      </w:pPr>
      <w:r>
        <w:rPr>
          <w:b/>
          <w:b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b/>
          <w:b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generalized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colour.</w:t>
      </w:r>
    </w:p>
    <w:bookmarkEnd w:id="49"/>
    <w:bookmarkStart w:id="58"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b/>
          <w:b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vendor reconstructions of both the routine and the simulated quarter-dose acquisition. A lesion of known size and contrast is inserted into real abdominal soft tissue, so that the task has a ground truth the acquisition itself cannot supply. The learned denoiser is trained on quarter-dose / full-dose patch pairs from 8 cases and evaluated on the 4 it never saw (1000 pairs). The split is by case, not by slice: slices from one patient are not independent, and a network tested on another slice of a liver it trained on is being tested on its own training set. Normalization at training matches normalization at inference, since a network trained in absolute HU and deployed through a normalizing wrapper is not the network that was trained. The network never sees a lesion — its targets are full-dose reconstructions of ordinary anatomy, which is what a denoiser is actually given — and the lesion exists only in the evaluation.</w:t>
      </w:r>
    </w:p>
    <w:p>
      <w:pPr>
        <w:pStyle w:val="BodyText"/>
      </w:pPr>
      <w:r>
        <w:rPr>
          <w:b/>
          <w:b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168880"/>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 title="" id="51" name="Picture"/>
            <a:graphic>
              <a:graphicData uri="http://schemas.openxmlformats.org/drawingml/2006/picture">
                <pic:pic>
                  <pic:nvPicPr>
                    <pic:cNvPr descr="D:/DevGit/CT-Noise_Core/paper/figures/fig9_real_liver_gallery.png" id="52" name="Picture"/>
                    <pic:cNvPicPr>
                      <a:picLocks noChangeArrowheads="1" noChangeAspect="1"/>
                    </pic:cNvPicPr>
                  </pic:nvPicPr>
                  <pic:blipFill>
                    <a:blip r:embed="rId50"/>
                    <a:stretch>
                      <a:fillRect/>
                    </a:stretch>
                  </pic:blipFill>
                  <pic:spPr bwMode="auto">
                    <a:xfrm>
                      <a:off x="0" y="0"/>
                      <a:ext cx="5334000" cy="216888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4" name="Picture"/>
            <a:graphic>
              <a:graphicData uri="http://schemas.openxmlformats.org/drawingml/2006/picture">
                <pic:pic>
                  <pic:nvPicPr>
                    <pic:cNvPr descr="D:/DevGit/CT-Noise_Core/paper/figures/fig10_real_liver.png" id="55" name="Picture"/>
                    <pic:cNvPicPr>
                      <a:picLocks noChangeArrowheads="1" noChangeAspect="1"/>
                    </pic:cNvPicPr>
                  </pic:nvPicPr>
                  <pic:blipFill>
                    <a:blip r:embed="rId53"/>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artefact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9.21 — produced 0 exceedances of its own ceiling, so the bound holds where the task is nearly impossible as well as where it is comfortable.</w:t>
      </w:r>
    </w:p>
    <w:bookmarkStart w:id="56"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optimizing a denoiser for appearance produced no detectable excess of lesion-shaped response. What it produced was more erasure of a real lesion, behind a more convincing picture.</w:t>
      </w:r>
    </w:p>
    <w:bookmarkEnd w:id="56"/>
    <w:bookmarkStart w:id="57"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every arm’s efficiency falls on the low-structure sites, the unprocessed input from 5.29 to 4.42. A less structured background yields a</w:t>
      </w:r>
      <w:r>
        <w:t xml:space="preserve"> </w:t>
      </w:r>
      <w:r>
        <w:rPr>
          <w:i/>
          <w:iCs/>
        </w:rPr>
        <w:t xml:space="preserve">lower</w:t>
      </w:r>
      <w:r>
        <w:t xml:space="preserve"> </w:t>
      </w:r>
      <w:r>
        <w:t xml:space="preserve">fraction of the available detectability, which these data record without explaining.</w:t>
      </w:r>
    </w:p>
    <w:bookmarkEnd w:id="57"/>
    <w:bookmarkEnd w:id="58"/>
    <w:bookmarkStart w:id="59"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realization, and the distinction matters. Because this collection’s low-dose series is a reconstruction of the same projections with noise inserted, the difference of the two reconstructions is a measured realization of the noise that dose reduction costs at one fraction, α, with a real spectrum on real anatomy. Scaling it by</w:t>
      </w:r>
      <w:r>
        <w:t xml:space="preserve"> </w:t>
      </w:r>
      <w:r>
        <w:rPr>
          <w:rStyle w:val="VerbatimChar"/>
        </w:rPr>
        <w:t xml:space="preserve">k</w:t>
      </w:r>
      <w:r>
        <w:t xml:space="preserve">(β) = √((1/β − 1)/(1/α − 1)) produces a realization at any other fraction β. The spectrum and the anatomy are therefore measured; the amplitude at β is modelled.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b/>
          <w:b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 for</w:t>
      </w:r>
      <w:r>
        <w:t xml:space="preserve"> </w:t>
      </w:r>
      <w:r>
        <w:rPr>
          <w:rStyle w:val="VerbatimChar"/>
        </w:rPr>
        <w:t xml:space="preserve">GAN 1.85M</w:t>
      </w:r>
      <w:r>
        <w:t xml:space="preserve"> </w:t>
      </w:r>
      <w:r>
        <w:t xml:space="preserve">— and the best of them differs from doing nothing by -2 %, which is within what this design resolves. No arm measured here extended the exposure floor by an amount this study can distinguish from none.</w:t>
      </w:r>
    </w:p>
    <w:p>
      <w:pPr>
        <w:pStyle w:val="BodyText"/>
      </w:pPr>
      <w:r>
        <w:rPr>
          <w:b/>
          <w:b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b/>
          <w:b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as a square root; on this axis the ceiling crosses the requirement at 0.113 of the routine protocol while the unprocessed input crosses it at 0.187 — a factor 1.66, or 66 %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b/>
          <w:b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59"/>
    <w:bookmarkStart w:id="60" w:name="X8b6d601956f7eda0d4ebd1b021600ff3f56d0c4"/>
    <w:p>
      <w:pPr>
        <w:pStyle w:val="Heading3"/>
      </w:pPr>
      <w:r>
        <w:t xml:space="preserve">3.8 Sensitivity and implementation validation</w:t>
      </w:r>
    </w:p>
    <w:p>
      <w:pPr>
        <w:pStyle w:val="FirstParagraph"/>
      </w:pPr>
      <w:r>
        <w:rPr>
          <w:b/>
          <w:b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b/>
          <w:b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 fixed in advance.</w:t>
      </w:r>
    </w:p>
    <w:p>
      <w:pPr>
        <w:pStyle w:val="BodyText"/>
      </w:pPr>
      <w:r>
        <w:rPr>
          <w:b/>
          <w:b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0"/>
    <w:bookmarkEnd w:id="61"/>
    <w:bookmarkStart w:id="63" w:name="discussion"/>
    <w:p>
      <w:pPr>
        <w:pStyle w:val="Heading2"/>
      </w:pPr>
      <w:r>
        <w:t xml:space="preserve">4. Discussion</w:t>
      </w:r>
    </w:p>
    <w:p>
      <w:pPr>
        <w:pStyle w:val="FirstParagraph"/>
      </w:pPr>
      <w:r>
        <w:t xml:space="preserve">The contribution of this work is a framework that separates two quantities usually reported as one: the detectability an input makes available to an ideal observer, and the detectability a specified observer actually achieves after processing. Holding them apart is what turns a statement about image quality into a statement about an exposure, because the requirement a task imposes can then be placed on the second quantity rather than the first, and the exposure that meets it compared across processing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artefact of a badly chosen fidelity metric — SSIM is what much of the literature reports and what many learned methods are optimized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channelized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not of the boundary, and in this matrix they were not stratified by it. Reading the floor as a predictor of denoiser-specific failure modes would over-claim; reading it as a limit on what any processing can deliver is what the bound supports.</w:t>
      </w:r>
    </w:p>
    <w:p>
      <w:pPr>
        <w:pStyle w:val="BodyText"/>
      </w:pPr>
      <w:r>
        <w:t xml:space="preserve">The clinical relevance of this framework lies in linking image processing to a specified diagnostic task and performance requirement. For radiologists, it motivates assessing whether improved image appearance preserves the features needed for the intended decision. For radiographers and medical physicists, it provides a basis for jointly evaluating acquisition exposure and post-processing against task-specific performance criteria. The intended patient benefit is to avoid unnecessary exposure while retaining information needed for diagnosis. These are translational objectives, not outcomes demonstrated here: the present study evaluated model observers and synthetic lesions, including lesions inserted into real CT backgrounds.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2"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stylized surrogate for limited prewhitening efficiency. The lesion is inserted, not native: what is measured is detection of a specified low-contrast signal, not of hepatocellular carcinoma, haemangioma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realizations bound sampling variability but do not make the matrix exhaustive. Finally, the scope is post-processing of a defined input image; reconstruction from projection data is a separate map, subject to its own bound, and is not studied here.</w:t>
      </w:r>
    </w:p>
    <w:bookmarkEnd w:id="62"/>
    <w:bookmarkEnd w:id="63"/>
    <w:bookmarkStart w:id="64" w:name="conclusion"/>
    <w:p>
      <w:pPr>
        <w:pStyle w:val="Heading2"/>
      </w:pPr>
      <w:r>
        <w:t xml:space="preserve">5. Conclusion</w:t>
      </w:r>
    </w:p>
    <w:p>
      <w:pPr>
        <w:pStyle w:val="FirstParagraph"/>
      </w:pPr>
      <w:r>
        <w:t xml:space="preserve">This study characterizes task detectability limits in denoised CT by separating the input’s ideal-observer ceiling from the performance achieved by specified observers. Controlled experiments and synthetic-lesion evaluations on real CT backgrounds showed observer-dependent denoising effects and divergence between fidelity and detectability. Within the evaluated dose simulation, task thresholds provided a basis for comparing exposure requirements across processing methods. These findings support evaluating acquisition and post-processing jointly against a defined detection requirement. Translation to clinical dose optimization requires scanner-specific calibration and human-reader validation, with the ultimate aim of preserving diagnostic information while avoiding unnecessary patient exposure.</w:t>
      </w:r>
    </w:p>
    <w:bookmarkEnd w:id="64"/>
    <w:bookmarkStart w:id="65"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5"/>
    <w:bookmarkStart w:id="67"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b/>
          <w:b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realizes the observer of Section 2.9 and scores it is</w:t>
      </w:r>
      <w:r>
        <w:t xml:space="preserve"> </w:t>
      </w:r>
      <w:r>
        <w:rPr>
          <w:rStyle w:val="VerbatimChar"/>
        </w:rPr>
        <w:t xml:space="preserve">ldct-io</w:t>
      </w:r>
      <w:r>
        <w:t xml:space="preserve">, at</w:t>
      </w:r>
      <w:r>
        <w:t xml:space="preserve"> </w:t>
      </w:r>
      <w:hyperlink r:id="rId66">
        <w:r>
          <w:rPr>
            <w:rStyle w:val="Hyperlink"/>
          </w:rPr>
          <w:t xml:space="preserve">https://github.com/Institute-of-One/ldct-io</w:t>
        </w:r>
      </w:hyperlink>
      <w:r>
        <w:t xml:space="preserve">, MIT licensed, archived at Zenodo as version 0.2.0, doi:10.5281/zenodo.23095235.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at https://github.com/Institute-of-One/denoiq-core and is available at review time; the exact version reported here is archived at Zenodo as version 0.2.0, doi:10.5281/zenodo.23095236.</w:t>
      </w:r>
    </w:p>
    <w:p>
      <w:pPr>
        <w:pStyle w:val="BodyText"/>
      </w:pPr>
      <w:r>
        <w:t xml:space="preserve">Realization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representative-realization artefacts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67"/>
    <w:bookmarkStart w:id="68" w:name="acknowledgments"/>
    <w:p>
      <w:pPr>
        <w:pStyle w:val="Heading2"/>
      </w:pPr>
      <w:r>
        <w:t xml:space="preserve">Acknowledgments</w:t>
      </w:r>
    </w:p>
    <w:p>
      <w:pPr>
        <w:pStyle w:val="FirstParagraph"/>
      </w:pPr>
      <w:r>
        <w:t xml:space="preserve">This work received no external funding.</w:t>
      </w:r>
    </w:p>
    <w:bookmarkEnd w:id="68"/>
    <w:bookmarkStart w:id="69"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69"/>
    <w:bookmarkStart w:id="70"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2024;51:978-90.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0"/>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realization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72" name="Picture"/>
            <a:graphic>
              <a:graphicData uri="http://schemas.openxmlformats.org/drawingml/2006/picture">
                <pic:pic>
                  <pic:nvPicPr>
                    <pic:cNvPr descr="D:/DevGit/CT-Noise_Core/paper/figures/fig6_dpi_ceiling.png" id="73" name="Picture"/>
                    <pic:cNvPicPr>
                      <a:picLocks noChangeArrowheads="1" noChangeAspect="1"/>
                    </pic:cNvPicPr>
                  </pic:nvPicPr>
                  <pic:blipFill>
                    <a:blip r:embed="rId71"/>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66"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6"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2026-10-03T10:04:38Z</dcterms:created>
  <dcterms:modified xsi:type="dcterms:W3CDTF">2026-10-03T10:04:38Z</dcterms:modified>
</cp:coreProperties>
</file>

<file path=docProps/custom.xml><?xml version="1.0" encoding="utf-8"?>
<Properties xmlns="http://schemas.openxmlformats.org/officeDocument/2006/custom-properties" xmlns:vt="http://schemas.openxmlformats.org/officeDocument/2006/docPropsVTypes"/>
</file>