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Denoising improves reference-based fidelity metrics and is widely held thereby to</w:t>
      </w:r>
      <w:r>
        <w:t xml:space="preserve"> </w:t>
      </w:r>
      <w:r>
        <w:t xml:space="preserve">permit dose reduction. That does not follow: processing cannot add task information.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To characterize task detectability limits in denoised CT by separating the</w:t>
      </w:r>
      <w:r>
        <w:t xml:space="preserve"> </w:t>
      </w:r>
      <w:r>
        <w:t xml:space="preserve">detectability an input offers an ideal observer from that a specified observer achieves, and</w:t>
      </w:r>
      <w:r>
        <w:t xml:space="preserve"> </w:t>
      </w:r>
      <w:r>
        <w:t xml:space="preserve">thereby compare the exposure each method needs.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Signal- and background-known-exactly detection of a low-contrast disk on phantoms</w:t>
      </w:r>
      <w:r>
        <w:t xml:space="preserve"> </w:t>
      </w:r>
      <w:r>
        <w:t xml:space="preserve">with three classical denoisers and three observers, and on</w:t>
      </w:r>
      <w:r>
        <w:t xml:space="preserve"> </w:t>
      </w:r>
      <w:r>
        <w:t xml:space="preserve">12 liver cases from LDCT-and-Projection-data with a</w:t>
      </w:r>
      <w:r>
        <w:t xml:space="preserve"> </w:t>
      </w:r>
      <w:r>
        <w:t xml:space="preserve">synthetic lesion in abdominal soft tissue. Each arm is referenced to its unprocessed input and its</w:t>
      </w:r>
      <w:r>
        <w:t xml:space="preserve"> </w:t>
      </w:r>
      <w:r>
        <w:t xml:space="preserve">analytic ceiling [1,2]. Residual CNNs trained on</w:t>
      </w:r>
      <w:r>
        <w:t xml:space="preserve"> </w:t>
      </w:r>
      <w:r>
        <w:t xml:space="preserve">8 cases were evaluated on</w:t>
      </w:r>
      <w:r>
        <w:t xml:space="preserve"> </w:t>
      </w:r>
      <w:r>
        <w:t xml:space="preserve">4 never-seen cases, at two capacities, each paired with a</w:t>
      </w:r>
      <w:r>
        <w:t xml:space="preserve"> </w:t>
      </w:r>
      <w:r>
        <w:t xml:space="preserve">counterpart differing only in an adversarial objective. Exposure was compared on a dose simulation</w:t>
      </w:r>
      <w:r>
        <w:t xml:space="preserve"> </w:t>
      </w:r>
      <w:r>
        <w:t xml:space="preserve">rescaling the collection’s measured noise, against</w:t>
      </w:r>
      <w:r>
        <w:t xml:space="preserve"> </w:t>
      </w:r>
      <w:r>
        <w:rPr>
          <w:rStyle w:val="VerbatimChar"/>
        </w:rPr>
        <w:t xml:space="preserve">d'</w:t>
      </w:r>
      <w:r>
        <w:t xml:space="preserve"> </w:t>
      </w:r>
      <w:r>
        <w:t xml:space="preserve">≥</w:t>
      </w:r>
      <w:r>
        <w:t xml:space="preserve"> </w:t>
      </w:r>
      <w:r>
        <w:t xml:space="preserve">5.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88.2% of evaluations</w:t>
      </w:r>
      <w:r>
        <w:t xml:space="preserve"> </w:t>
      </w:r>
      <w:r>
        <w:t xml:space="preserve">improved fidelity while detectability fell; denoising helped the inefficient observer more</w:t>
      </w:r>
      <w:r>
        <w:t xml:space="preserve"> </w:t>
      </w:r>
      <w:r>
        <w:t xml:space="preserve">(+1.13). On real data PSNR</w:t>
      </w:r>
      <w:r>
        <w:t xml:space="preserve"> </w:t>
      </w:r>
      <w:r>
        <w:t xml:space="preserve">ranked 9 methods against</w:t>
      </w:r>
      <w:r>
        <w:t xml:space="preserve"> </w:t>
      </w:r>
      <w:r>
        <w:rPr>
          <w:rStyle w:val="VerbatimChar"/>
        </w:rPr>
        <w:t xml:space="preserve">d'</w:t>
      </w:r>
      <w:r>
        <w:t xml:space="preserve"> </w:t>
      </w:r>
      <w:r>
        <w:t xml:space="preserve">at ρ</w:t>
      </w:r>
      <w:r>
        <w:t xml:space="preserve"> </w:t>
      </w:r>
      <w:r>
        <w:t xml:space="preserve">-0.08, the best-PSNR method ranking</w:t>
      </w:r>
      <w:r>
        <w:t xml:space="preserve"> </w:t>
      </w:r>
      <w:r>
        <w:t xml:space="preserve">7 of</w:t>
      </w:r>
      <w:r>
        <w:t xml:space="preserve"> </w:t>
      </w:r>
      <w:r>
        <w:t xml:space="preserve">9 on the task, and</w:t>
      </w:r>
      <w:r>
        <w:t xml:space="preserve"> </w:t>
      </w:r>
      <w:r>
        <w:t xml:space="preserve">0 arms exceeded the ceiling. The adversarial arms showed</w:t>
      </w:r>
      <w:r>
        <w:t xml:space="preserve"> </w:t>
      </w:r>
      <w:r>
        <w:t xml:space="preserve">no detected increase in lesion-shaped response. Unprocessed images met the criterion to</w:t>
      </w:r>
      <w:r>
        <w:t xml:space="preserve"> </w:t>
      </w:r>
      <w:r>
        <w:t xml:space="preserve">0.187 of routine exposure;</w:t>
      </w:r>
      <w:r>
        <w:t xml:space="preserve"> </w:t>
      </w:r>
      <w:r>
        <w:t xml:space="preserve">7 of</w:t>
      </w:r>
      <w:r>
        <w:t xml:space="preserve"> </w:t>
      </w:r>
      <w:r>
        <w:t xml:space="preserve">8 processed arms needed more.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Separating the input’s ceiling from achieved detectability allows exposure</w:t>
      </w:r>
      <w:r>
        <w:t xml:space="preserve"> </w:t>
      </w:r>
      <w:r>
        <w:t xml:space="preserve">requirements to be compared against a defined criterion. Fidelity gains alone did not establish</w:t>
      </w:r>
      <w:r>
        <w:t xml:space="preserve"> </w:t>
      </w:r>
      <w:r>
        <w:t xml:space="preserve">task preservation. Clinical use requires scanner-specific calibration and human-reader</w:t>
      </w:r>
      <w:r>
        <w:t xml:space="preserve"> </w:t>
      </w:r>
      <w:r>
        <w:t xml:space="preserve">validation.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2026-10-03T14:16:35Z</dcterms:created>
  <dcterms:modified xsi:type="dcterms:W3CDTF">2026-10-03T14:16:35Z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