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pplementary-material"/>
    <w:p>
      <w:pPr>
        <w:pStyle w:val="Heading1"/>
      </w:pPr>
      <w:r>
        <w:t xml:space="preserve">Supplementary material</w:t>
      </w:r>
    </w:p>
    <w:p>
      <w:pPr>
        <w:pStyle w:val="FirstParagraph"/>
      </w:pPr>
      <w:r>
        <w:rPr>
          <w:i/>
          <w:iCs/>
        </w:rPr>
        <w:t xml:space="preserve">An information-theoretic exposure criterion for AI-denoised low-dose CT: from required detectability to delivered dose, and to an AI denoiser’s dose claim</w:t>
      </w:r>
      <w:r>
        <w:t xml:space="preserve"> </w:t>
      </w:r>
      <w:r>
        <w:t xml:space="preserve">Shuji Yamamoto · Institute of One, LISIT Co., Ltd., Tokyo 150-0044, Japan</w:t>
      </w:r>
    </w:p>
    <w:bookmarkStart w:id="11" w:name="X1b6272db6f71a705cd132909c08a6edee158b06"/>
    <w:p>
      <w:pPr>
        <w:pStyle w:val="Heading2"/>
      </w:pPr>
      <w:r>
        <w:t xml:space="preserve">S1. Supplementary Methods: the gauge, and the two failure measures</w:t>
      </w:r>
    </w:p>
    <w:bookmarkStart w:id="9" w:name="s1.1-the-verdict-rules-in-full"/>
    <w:p>
      <w:pPr>
        <w:pStyle w:val="Heading3"/>
      </w:pPr>
      <w:r>
        <w:t xml:space="preserve">S1.1 The verdict rules in full</w:t>
      </w:r>
    </w:p>
    <w:p>
      <w:pPr>
        <w:keepNext/>
        <w:pStyle w:val="FirstParagraph"/>
      </w:pPr>
      <w:r>
        <w:t xml:space="preserve">The gauge is an auditable rule-based translation of the measured quantities; its thresholds are task-specific values fixed in advance, not clinically validated criteria. Let</w:t>
      </w:r>
      <w:r>
        <w:t xml:space="preserve"> </w:t>
      </w:r>
      <w:r>
        <w:rPr>
          <w:rStyle w:val="VerbatimChar"/>
        </w:rPr>
        <w:t xml:space="preserve">C</w:t>
      </w:r>
      <w:r>
        <w:t xml:space="preserve"> </w:t>
      </w:r>
      <w:r>
        <w:t xml:space="preserve">be the input’s analytic ceiling</w:t>
      </w:r>
      <w:r>
        <w:t xml:space="preserve"> </w:t>
      </w:r>
      <w:r>
        <w:rPr>
          <w:rStyle w:val="VerbatimChar"/>
        </w:rPr>
        <w:t xml:space="preserve">d'</w:t>
      </w:r>
      <w:r>
        <w:t xml:space="preserve">,</w:t>
      </w:r>
      <w:r>
        <w:t xml:space="preserve"> </w:t>
      </w:r>
      <w:r>
        <w:rPr>
          <w:rStyle w:val="VerbatimChar"/>
        </w:rPr>
        <w:t xml:space="preserve">T</w:t>
      </w:r>
      <w:r>
        <w:t xml:space="preserve"> </w:t>
      </w:r>
      <w:r>
        <w:t xml:space="preserve">and</w:t>
      </w:r>
      <w:r>
        <w:t xml:space="preserve"> </w:t>
      </w:r>
      <w:r>
        <w:rPr>
          <w:rStyle w:val="VerbatimChar"/>
        </w:rPr>
        <w:t xml:space="preserve">T_input</w:t>
      </w:r>
      <w:r>
        <w:t xml:space="preserve"> </w:t>
      </w:r>
      <w:r>
        <w:t xml:space="preserve">the cross-fitted prewhitening</w:t>
      </w:r>
      <w:r>
        <w:t xml:space="preserve"> </w:t>
      </w:r>
      <w:r>
        <w:rPr>
          <w:rStyle w:val="VerbatimChar"/>
        </w:rPr>
        <w:t xml:space="preserve">d'</w:t>
      </w:r>
      <w:r>
        <w:t xml:space="preserve"> </w:t>
      </w:r>
      <w:r>
        <w:t xml:space="preserve">on the processed and unprocessed images,</w:t>
      </w:r>
      <w:r>
        <w:t xml:space="preserve"> </w:t>
      </w:r>
      <w:r>
        <w:rPr>
          <w:rStyle w:val="VerbatimChar"/>
        </w:rPr>
        <w:t xml:space="preserve">S</w:t>
      </w:r>
      <w:r>
        <w:t xml:space="preserve"> </w:t>
      </w:r>
      <w:r>
        <w:t xml:space="preserve">the SSIM of the processed images against the noise-free object,</w:t>
      </w:r>
      <w:r>
        <w:t xml:space="preserve"> </w:t>
      </w:r>
      <w:r>
        <w:rPr>
          <w:rStyle w:val="VerbatimChar"/>
        </w:rPr>
        <w:t xml:space="preserve">F</w:t>
      </w:r>
      <w:r>
        <w:t xml:space="preserve"> </w:t>
      </w:r>
      <w:r>
        <w:t xml:space="preserve">and</w:t>
      </w:r>
      <w:r>
        <w:t xml:space="preserve"> </w:t>
      </w:r>
      <w:r>
        <w:rPr>
          <w:rStyle w:val="VerbatimChar"/>
        </w:rPr>
        <w:t xml:space="preserve">F_input</w:t>
      </w:r>
      <w:r>
        <w:t xml:space="preserve"> </w:t>
      </w:r>
      <w:r>
        <w:t xml:space="preserve">the lesion-like response rates, and</w:t>
      </w:r>
      <w:r>
        <w:t xml:space="preserve"> </w:t>
      </w:r>
      <w:r>
        <w:rPr>
          <w:rStyle w:val="VerbatimChar"/>
        </w:rPr>
        <w:t xml:space="preserve">ρ</w:t>
      </w:r>
      <w:r>
        <w:t xml:space="preserve"> </w:t>
      </w:r>
      <w:r>
        <w:t xml:space="preserve">the contrast recovery.</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keepNext/>
              <w:pStyle w:val="Compact"/>
            </w:pPr>
            <w:r>
              <w:t xml:space="preserve">level</w:t>
            </w:r>
          </w:p>
        </w:tc>
        <w:tc>
          <w:tcPr/>
          <w:p>
            <w:pPr>
              <w:keepNext/>
              <w:pStyle w:val="Compact"/>
            </w:pPr>
            <w:r>
              <w:t xml:space="preserve">rule</w:t>
            </w:r>
          </w:p>
        </w:tc>
        <w:tc>
          <w:tcPr/>
          <w:p>
            <w:pPr>
              <w:keepNext/>
              <w:pStyle w:val="Compact"/>
            </w:pPr>
            <w:r>
              <w:t xml:space="preserve">reads as</w:t>
            </w:r>
          </w:p>
        </w:tc>
      </w:tr>
      <w:tr>
        <w:trPr>
          <w:cantSplit/>
        </w:trPr>
        <w:tc>
          <w:tcPr/>
          <w:p>
            <w:pPr>
              <w:keepNext/>
              <w:pStyle w:val="Compact"/>
            </w:pPr>
            <w:r>
              <w:t xml:space="preserve">red</w:t>
            </w:r>
          </w:p>
        </w:tc>
        <w:tc>
          <w:tcPr/>
          <w:p>
            <w:pPr>
              <w:keepNext/>
              <w:pStyle w:val="Compact"/>
            </w:pPr>
            <w:r>
              <w:rPr>
                <w:rStyle w:val="VerbatimChar"/>
              </w:rPr>
              <w:t xml:space="preserve">C</w:t>
            </w:r>
            <w:r>
              <w:t xml:space="preserve"> </w:t>
            </w:r>
            <w:r>
              <w:t xml:space="preserve">&lt; 5.0</w:t>
            </w:r>
          </w:p>
        </w:tc>
        <w:tc>
          <w:tcPr/>
          <w:p>
            <w:pPr>
              <w:keepNext/>
              <w:pStyle w:val="Compact"/>
            </w:pPr>
            <w:r>
              <w:t xml:space="preserve">the input does not meet the prespecified requirement, and no processing can restore it</w:t>
            </w:r>
          </w:p>
        </w:tc>
      </w:tr>
      <w:tr>
        <w:trPr>
          <w:cantSplit/>
        </w:trPr>
        <w:tc>
          <w:tcPr/>
          <w:p>
            <w:pPr>
              <w:keepNext/>
              <w:pStyle w:val="Compact"/>
            </w:pPr>
            <w:r>
              <w:t xml:space="preserve">red</w:t>
            </w:r>
          </w:p>
        </w:tc>
        <w:tc>
          <w:tcPr/>
          <w:p>
            <w:pPr>
              <w:keepNext/>
              <w:pStyle w:val="Compact"/>
            </w:pPr>
            <w:r>
              <w:rPr>
                <w:rStyle w:val="VerbatimChar"/>
              </w:rPr>
              <w:t xml:space="preserve">S</w:t>
            </w:r>
            <w:r>
              <w:t xml:space="preserve"> </w:t>
            </w:r>
            <w:r>
              <w:t xml:space="preserve">≥ 0.7 and</w:t>
            </w:r>
            <w:r>
              <w:t xml:space="preserve"> </w:t>
            </w:r>
            <w:r>
              <w:rPr>
                <w:rStyle w:val="VerbatimChar"/>
              </w:rPr>
              <w:t xml:space="preserve">T</w:t>
            </w:r>
            <w:r>
              <w:t xml:space="preserve"> </w:t>
            </w:r>
            <w:r>
              <w:t xml:space="preserve">≤ 1.0</w:t>
            </w:r>
          </w:p>
        </w:tc>
        <w:tc>
          <w:tcPr/>
          <w:p>
            <w:pPr>
              <w:keepNext/>
              <w:pStyle w:val="Compact"/>
            </w:pPr>
            <w:r>
              <w:t xml:space="preserve">high fidelity with inadequate task performance</w:t>
            </w:r>
          </w:p>
        </w:tc>
      </w:tr>
      <w:tr>
        <w:trPr>
          <w:cantSplit/>
        </w:trPr>
        <w:tc>
          <w:tcPr/>
          <w:p>
            <w:pPr>
              <w:keepNext/>
              <w:pStyle w:val="Compact"/>
            </w:pPr>
            <w:r>
              <w:t xml:space="preserve">red</w:t>
            </w:r>
          </w:p>
        </w:tc>
        <w:tc>
          <w:tcPr/>
          <w:p>
            <w:pPr>
              <w:keepNext/>
              <w:pStyle w:val="Compact"/>
            </w:pPr>
            <w:r>
              <w:rPr>
                <w:rStyle w:val="VerbatimChar"/>
              </w:rPr>
              <w:t xml:space="preserve">F</w:t>
            </w:r>
            <w:r>
              <w:t xml:space="preserve"> </w:t>
            </w:r>
            <w:r>
              <w:t xml:space="preserve">&gt; 0.2 and</w:t>
            </w:r>
            <w:r>
              <w:t xml:space="preserve"> </w:t>
            </w:r>
            <w:r>
              <w:rPr>
                <w:rStyle w:val="VerbatimChar"/>
              </w:rPr>
              <w:t xml:space="preserve">F</w:t>
            </w:r>
            <w:r>
              <w:t xml:space="preserve"> </w:t>
            </w:r>
            <w:r>
              <w:t xml:space="preserve">&gt;</w:t>
            </w:r>
            <w:r>
              <w:t xml:space="preserve"> </w:t>
            </w:r>
            <w:r>
              <w:rPr>
                <w:rStyle w:val="VerbatimChar"/>
              </w:rPr>
              <w:t xml:space="preserve">F_input</w:t>
            </w:r>
          </w:p>
        </w:tc>
        <w:tc>
          <w:tcPr/>
          <w:p>
            <w:pPr>
              <w:keepNext/>
              <w:pStyle w:val="Compact"/>
            </w:pPr>
            <w:r>
              <w:t xml:space="preserve">excess lesion-like responses over the input</w:t>
            </w:r>
          </w:p>
        </w:tc>
      </w:tr>
      <w:tr>
        <w:trPr>
          <w:cantSplit/>
        </w:trPr>
        <w:tc>
          <w:tcPr/>
          <w:p>
            <w:pPr>
              <w:keepNext/>
              <w:pStyle w:val="Compact"/>
            </w:pPr>
            <w:r>
              <w:t xml:space="preserve">red</w:t>
            </w:r>
          </w:p>
        </w:tc>
        <w:tc>
          <w:tcPr/>
          <w:p>
            <w:pPr>
              <w:keepNext/>
              <w:pStyle w:val="Compact"/>
            </w:pPr>
            <w:r>
              <w:rPr>
                <w:rStyle w:val="VerbatimChar"/>
              </w:rPr>
              <w:t xml:space="preserve">ρ</w:t>
            </w:r>
            <w:r>
              <w:t xml:space="preserve"> </w:t>
            </w:r>
            <w:r>
              <w:t xml:space="preserve">&lt; 0.5</w:t>
            </w:r>
          </w:p>
        </w:tc>
        <w:tc>
          <w:tcPr/>
          <w:p>
            <w:pPr>
              <w:keepNext/>
              <w:pStyle w:val="Compact"/>
            </w:pPr>
            <w:r>
              <w:t xml:space="preserve">erasure of true contrast</w:t>
            </w:r>
          </w:p>
        </w:tc>
      </w:tr>
      <w:tr>
        <w:trPr>
          <w:cantSplit/>
        </w:trPr>
        <w:tc>
          <w:tcPr/>
          <w:p>
            <w:pPr>
              <w:keepNext/>
              <w:pStyle w:val="Compact"/>
            </w:pPr>
            <w:r>
              <w:t xml:space="preserve">amber</w:t>
            </w:r>
          </w:p>
        </w:tc>
        <w:tc>
          <w:tcPr/>
          <w:p>
            <w:pPr>
              <w:keepNext/>
              <w:pStyle w:val="Compact"/>
            </w:pPr>
            <w:r>
              <w:rPr>
                <w:rStyle w:val="VerbatimChar"/>
              </w:rPr>
              <w:t xml:space="preserve">C</w:t>
            </w:r>
            <w:r>
              <w:t xml:space="preserve"> </w:t>
            </w:r>
            <w:r>
              <w:t xml:space="preserve">&lt; 1.2 × 5.0</w:t>
            </w:r>
          </w:p>
        </w:tc>
        <w:tc>
          <w:tcPr/>
          <w:p>
            <w:pPr>
              <w:keepNext/>
              <w:pStyle w:val="Compact"/>
            </w:pPr>
            <w:r>
              <w:t xml:space="preserve">marginal: a small dose change crosses the floor</w:t>
            </w:r>
          </w:p>
        </w:tc>
      </w:tr>
      <w:tr>
        <w:trPr>
          <w:cantSplit/>
        </w:trPr>
        <w:tc>
          <w:tcPr/>
          <w:p>
            <w:pPr>
              <w:keepNext/>
              <w:pStyle w:val="Compact"/>
            </w:pPr>
            <w:r>
              <w:t xml:space="preserve">amber</w:t>
            </w:r>
          </w:p>
        </w:tc>
        <w:tc>
          <w:tcPr/>
          <w:p>
            <w:pPr>
              <w:keepNext/>
              <w:pStyle w:val="Compact"/>
            </w:pPr>
            <w:r>
              <w:t xml:space="preserve">1 −</w:t>
            </w:r>
            <w:r>
              <w:t xml:space="preserve"> </w:t>
            </w:r>
            <w:r>
              <w:rPr>
                <w:rStyle w:val="VerbatimChar"/>
              </w:rPr>
              <w:t xml:space="preserve">T</w:t>
            </w:r>
            <w:r>
              <w:t xml:space="preserve">/</w:t>
            </w:r>
            <w:r>
              <w:rPr>
                <w:rStyle w:val="VerbatimChar"/>
              </w:rPr>
              <w:t xml:space="preserve">T_input</w:t>
            </w:r>
            <w:r>
              <w:t xml:space="preserve"> </w:t>
            </w:r>
            <w:r>
              <w:t xml:space="preserve">&gt; 0.2</w:t>
            </w:r>
          </w:p>
        </w:tc>
        <w:tc>
          <w:tcPr/>
          <w:p>
            <w:pPr>
              <w:keepNext/>
              <w:pStyle w:val="Compact"/>
            </w:pPr>
            <w:r>
              <w:t xml:space="preserve">severe task degradation relative to the input</w:t>
            </w:r>
          </w:p>
        </w:tc>
      </w:tr>
      <w:tr>
        <w:trPr>
          <w:cantSplit/>
        </w:trPr>
        <w:tc>
          <w:tcPr/>
          <w:p>
            <w:pPr>
              <w:pStyle w:val="Compact"/>
            </w:pPr>
            <w:r>
              <w:t xml:space="preserve">green</w:t>
            </w:r>
          </w:p>
        </w:tc>
        <w:tc>
          <w:tcPr/>
          <w:p>
            <w:pPr>
              <w:pStyle w:val="Compact"/>
            </w:pPr>
            <w:r>
              <w:t xml:space="preserve">none of the above</w:t>
            </w:r>
          </w:p>
        </w:tc>
        <w:tc>
          <w:tcPr/>
          <w:p>
            <w:pPr>
              <w:pStyle w:val="Compact"/>
            </w:pPr>
            <w:r>
              <w:t xml:space="preserve">—</w:t>
            </w:r>
          </w:p>
        </w:tc>
      </w:tr>
    </w:tbl>
    <w:p>
      <w:pPr>
        <w:pStyle w:val="BodyText"/>
      </w:pPr>
      <w:r>
        <w:t xml:space="preserve">Any red rule outranks any amber rule; within a level every rule that fired contributes a reason, in the order listed. The adequacy threshold on</w:t>
      </w:r>
      <w:r>
        <w:t xml:space="preserve"> </w:t>
      </w:r>
      <w:r>
        <w:rPr>
          <w:rStyle w:val="VerbatimChar"/>
        </w:rPr>
        <w:t xml:space="preserve">T</w:t>
      </w:r>
      <w:r>
        <w:t xml:space="preserve"> </w:t>
      </w:r>
      <w:r>
        <w:t xml:space="preserve">is a threshold for</w:t>
      </w:r>
      <w:r>
        <w:t xml:space="preserve"> </w:t>
      </w:r>
      <w:r>
        <w:rPr>
          <w:i/>
          <w:iCs/>
        </w:rPr>
        <w:t xml:space="preserve">inadequate</w:t>
      </w:r>
      <w:r>
        <w:t xml:space="preserve"> </w:t>
      </w:r>
      <w:r>
        <w:t xml:space="preserve">performance, not for chance performance:</w:t>
      </w:r>
      <w:r>
        <w:t xml:space="preserve"> </w:t>
      </w:r>
      <w:r>
        <w:rPr>
          <w:rStyle w:val="VerbatimChar"/>
        </w:rPr>
        <w:t xml:space="preserve">d'</w:t>
      </w:r>
      <w:r>
        <w:t xml:space="preserve"> </w:t>
      </w:r>
      <w:r>
        <w:t xml:space="preserve">= 1.0 corresponds to an AUC of about</w:t>
      </w:r>
      <w:r>
        <w:t xml:space="preserve"> </w:t>
      </w:r>
      <w:r>
        <w:rPr>
          <w:rStyle w:val="VerbatimChar"/>
        </w:rPr>
        <w:t xml:space="preserve">0.76</w:t>
      </w:r>
      <w:r>
        <w:t xml:space="preserve"> </w:t>
      </w:r>
      <w:r>
        <w:t xml:space="preserve">for an equal-variance Gaussian decision variable, whereas chance would be</w:t>
      </w:r>
      <w:r>
        <w:t xml:space="preserve"> </w:t>
      </w:r>
      <w:r>
        <w:rPr>
          <w:rStyle w:val="VerbatimChar"/>
        </w:rPr>
        <w:t xml:space="preserve">d'</w:t>
      </w:r>
      <w:r>
        <w:t xml:space="preserve"> </w:t>
      </w:r>
      <w:r>
        <w:t xml:space="preserve">=</w:t>
      </w:r>
      <w:r>
        <w:t xml:space="preserve"> </w:t>
      </w:r>
      <w:r>
        <w:rPr>
          <w:rStyle w:val="VerbatimChar"/>
        </w:rPr>
        <w:t xml:space="preserve">0</w:t>
      </w:r>
      <w:r>
        <w:t xml:space="preserve">, AUC</w:t>
      </w:r>
      <w:r>
        <w:t xml:space="preserve"> </w:t>
      </w:r>
      <w:r>
        <w:rPr>
          <w:rStyle w:val="VerbatimChar"/>
        </w:rPr>
        <w:t xml:space="preserve">0.5</w:t>
      </w:r>
      <w:r>
        <w:t xml:space="preserve">.</w:t>
      </w:r>
    </w:p>
    <w:bookmarkEnd w:id="9"/>
    <w:bookmarkStart w:id="10" w:name="X8a060515411a60af2ddacb6935a468552c15b6c"/>
    <w:p>
      <w:pPr>
        <w:pStyle w:val="Heading3"/>
      </w:pPr>
      <w:r>
        <w:t xml:space="preserve">S1.2 Lesion-like responses and contrast recovery</w:t>
      </w:r>
    </w:p>
    <w:p>
      <w:pPr>
        <w:pStyle w:val="FirstParagraph"/>
      </w:pPr>
      <w:r>
        <w:t xml:space="preserve">In signal-absent trials the underlying object is spatially uniform, although the acquired image contains noise; noise alone therefore produces lesion-like structure, and any measure of</w:t>
      </w:r>
      <w:r>
        <w:t xml:space="preserve"> </w:t>
      </w:r>
      <w:r>
        <w:t xml:space="preserve">“invented”</w:t>
      </w:r>
      <w:r>
        <w:t xml:space="preserve"> </w:t>
      </w:r>
      <w:r>
        <w:t xml:space="preserve">structure must be read against the unprocessed input rather than absolutely.</w:t>
      </w:r>
    </w:p>
    <w:p>
      <w:pPr>
        <w:pStyle w:val="BodyText"/>
      </w:pPr>
      <w:r>
        <w:t xml:space="preserve">A matched-filter amplitude map is formed with the known lesion profile, mean-subtracted and normalized so that an image containing exactly one true lesion reads</w:t>
      </w:r>
      <w:r>
        <w:t xml:space="preserve"> </w:t>
      </w:r>
      <w:r>
        <w:rPr>
          <w:rStyle w:val="VerbatimChar"/>
        </w:rPr>
        <w:t xml:space="preserve">1.0</w:t>
      </w:r>
      <w:r>
        <w:t xml:space="preserve"> </w:t>
      </w:r>
      <w:r>
        <w:t xml:space="preserve">at that location. The map is evaluated over all positions (a full 2-D correlation in</w:t>
      </w:r>
      <w:r>
        <w:t xml:space="preserve"> </w:t>
      </w:r>
      <w:r>
        <w:rPr>
          <w:rStyle w:val="VerbatimChar"/>
        </w:rPr>
        <w:t xml:space="preserve">same</w:t>
      </w:r>
      <w:r>
        <w:t xml:space="preserve"> </w:t>
      </w:r>
      <w:r>
        <w:t xml:space="preserve">mode with zero padding; the lesion is centered and the image is 64 pixels across, so boundary effects fall outside the lesion support). For each image the maximum over positions is taken, and the</w:t>
      </w:r>
      <w:r>
        <w:t xml:space="preserve"> </w:t>
      </w:r>
      <w:r>
        <w:rPr>
          <w:i/>
          <w:iCs/>
        </w:rPr>
        <w:t xml:space="preserve">lesion-like response rate</w:t>
      </w:r>
      <w:r>
        <w:t xml:space="preserve"> </w:t>
      </w:r>
      <w:r>
        <w:t xml:space="preserve">is the fraction of signal-absent images whose maximum reaches 0.5 of a true lesion’s amplitude — a round fraction chosen in advance rather than tuned. The same statistic is computed on the unprocessed input of the same condition, and the gauge fires only on an excess over it.</w:t>
      </w:r>
    </w:p>
    <w:p>
      <w:pPr>
        <w:pStyle w:val="BodyText"/>
      </w:pPr>
      <w:r>
        <w:rPr>
          <w:i/>
          <w:iCs/>
        </w:rPr>
        <w:t xml:space="preserve">Contrast recovery</w:t>
      </w:r>
      <w:r>
        <w:t xml:space="preserve"> </w:t>
      </w:r>
      <w:r>
        <w:t xml:space="preserve">is the projection of the class-mean difference image onto the same mean-subtracted lesion profile, divided by that profile’s squared norm: the amplitude of the surviving lesion in units of the true contrast. It is 1 when contrast is preserved and 0 when it is erased; values above 1 mean the processing amplified the mean difference. Values are not clipped.</w:t>
      </w:r>
    </w:p>
    <w:bookmarkEnd w:id="10"/>
    <w:bookmarkEnd w:id="11"/>
    <w:bookmarkStart w:id="13" w:name="Xbef3546f6b0091e4cef01f457a36e62087b688f"/>
    <w:p>
      <w:pPr>
        <w:pStyle w:val="Heading2"/>
      </w:pPr>
      <w:r>
        <w:t xml:space="preserve">S2. Closed-form validation of the analytic observer</w:t>
      </w:r>
    </w:p>
    <w:bookmarkStart w:id="12" w:name="s2.1-result-table-s1"/>
    <w:p>
      <w:pPr>
        <w:pStyle w:val="Heading3"/>
      </w:pPr>
      <w:r>
        <w:t xml:space="preserve">S2.1 Result (Table S1)</w:t>
      </w:r>
    </w:p>
    <w:p>
      <w:pPr>
        <w:pStyle w:val="FirstParagraph"/>
      </w:pPr>
      <w:r>
        <w:t xml:space="preserve">In white noise the analytic ideal linear (prewhitening) observer satisfies</w:t>
      </w:r>
      <w:r>
        <w:t xml:space="preserve"> </w:t>
      </w:r>
      <w:r>
        <w:rPr>
          <w:rStyle w:val="VerbatimChar"/>
        </w:rPr>
        <w:t xml:space="preserve">d' = ‖s‖₂/σ</w:t>
      </w:r>
      <w:r>
        <w:t xml:space="preserve"> </w:t>
      </w:r>
      <w:r>
        <w:t xml:space="preserve">exactly. Both columns of Table S1 are computed analytically and neither is estimated from image samples — the left from the identity, the right by the implementation from the analytic noise power spectrum — so the residual is numerical rather than statistical, and the comparison tests the implementation rather than a sample.</w:t>
      </w:r>
    </w:p>
    <w:p>
      <w:pPr>
        <w:keepNext/>
        <w:pStyle w:val="BodyText"/>
      </w:pPr>
      <w:r>
        <w:rPr>
          <w:b/>
          <w:bCs/>
        </w:rPr>
        <w:t xml:space="preserve">Table S1.</w:t>
      </w:r>
      <w:r>
        <w:t xml:space="preserve"> </w:t>
      </w:r>
      <w:r>
        <w:t xml:space="preserve">The analytic ideal linear (prewhitening) observer against its closed form on the unprocessed input. Both columns are analytic and neither is estimated from image samples, so the residual is numerical rather than statistical. Largest relative error: 1.3×10⁻¹⁶, against a criterion of 1% fixed in advance.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val="on"/>
        </w:trPr>
        <w:tc>
          <w:tcPr/>
          <w:p>
            <w:pPr>
              <w:keepNext/>
              <w:pStyle w:val="Compact"/>
            </w:pPr>
            <w:r>
              <w:t xml:space="preserve">noise σ</w:t>
            </w:r>
          </w:p>
        </w:tc>
        <w:tc>
          <w:tcPr/>
          <w:p>
            <w:pPr>
              <w:keepNext/>
              <w:pStyle w:val="Compact"/>
            </w:pPr>
            <w:r>
              <w:t xml:space="preserve">radius (mm)</w:t>
            </w:r>
          </w:p>
        </w:tc>
        <w:tc>
          <w:tcPr/>
          <w:p>
            <w:pPr>
              <w:keepNext/>
              <w:pStyle w:val="Compact"/>
            </w:pPr>
            <w:r>
              <w:t xml:space="preserve">contrast</w:t>
            </w:r>
          </w:p>
        </w:tc>
        <w:tc>
          <w:tcPr/>
          <w:p>
            <w:pPr>
              <w:keepNext/>
              <w:pStyle w:val="Compact"/>
            </w:pPr>
            <w:r>
              <w:t xml:space="preserve">d′ closed form</w:t>
            </w:r>
          </w:p>
        </w:tc>
        <w:tc>
          <w:tcPr/>
          <w:p>
            <w:pPr>
              <w:keepNext/>
              <w:pStyle w:val="Compact"/>
            </w:pPr>
            <w:r>
              <w:t xml:space="preserve">d′ computed</w:t>
            </w:r>
          </w:p>
        </w:tc>
        <w:tc>
          <w:tcPr/>
          <w:p>
            <w:pPr>
              <w:keepNext/>
              <w:pStyle w:val="Compact"/>
            </w:pPr>
            <w:r>
              <w:t xml:space="preserve">rel. error</w:t>
            </w:r>
          </w:p>
        </w:tc>
      </w:tr>
      <w:tr>
        <w:trPr>
          <w:cantSplit/>
        </w:trPr>
        <w:tc>
          <w:tcPr/>
          <w:p>
            <w:pPr>
              <w:keepNext/>
              <w:pStyle w:val="Compact"/>
            </w:pPr>
            <w:r>
              <w:t xml:space="preserve">15</w:t>
            </w:r>
          </w:p>
        </w:tc>
        <w:tc>
          <w:tcPr/>
          <w:p>
            <w:pPr>
              <w:keepNext/>
              <w:pStyle w:val="Compact"/>
            </w:pPr>
            <w:r>
              <w:t xml:space="preserve">1.5</w:t>
            </w:r>
          </w:p>
        </w:tc>
        <w:tc>
          <w:tcPr/>
          <w:p>
            <w:pPr>
              <w:keepNext/>
              <w:pStyle w:val="Compact"/>
            </w:pPr>
            <w:r>
              <w:t xml:space="preserve">20</w:t>
            </w:r>
          </w:p>
        </w:tc>
        <w:tc>
          <w:tcPr/>
          <w:p>
            <w:pPr>
              <w:keepNext/>
              <w:pStyle w:val="Compact"/>
            </w:pPr>
            <w:r>
              <w:t xml:space="preserve">6.7412</w:t>
            </w:r>
          </w:p>
        </w:tc>
        <w:tc>
          <w:tcPr/>
          <w:p>
            <w:pPr>
              <w:keepNext/>
              <w:pStyle w:val="Compact"/>
            </w:pPr>
            <w:r>
              <w:t xml:space="preserve">6.7412</w:t>
            </w:r>
          </w:p>
        </w:tc>
        <w:tc>
          <w:tcPr/>
          <w:p>
            <w:pPr>
              <w:keepNext/>
              <w:pStyle w:val="Compact"/>
            </w:pPr>
            <w:r>
              <w:t xml:space="preserve">1.3e-16</w:t>
            </w:r>
          </w:p>
        </w:tc>
      </w:tr>
      <w:tr>
        <w:trPr>
          <w:cantSplit/>
        </w:trPr>
        <w:tc>
          <w:tcPr/>
          <w:p>
            <w:pPr>
              <w:keepNext/>
              <w:pStyle w:val="Compact"/>
            </w:pPr>
            <w:r>
              <w:t xml:space="preserve">15</w:t>
            </w:r>
          </w:p>
        </w:tc>
        <w:tc>
          <w:tcPr/>
          <w:p>
            <w:pPr>
              <w:keepNext/>
              <w:pStyle w:val="Compact"/>
            </w:pPr>
            <w:r>
              <w:t xml:space="preserve">3</w:t>
            </w:r>
          </w:p>
        </w:tc>
        <w:tc>
          <w:tcPr/>
          <w:p>
            <w:pPr>
              <w:keepNext/>
              <w:pStyle w:val="Compact"/>
            </w:pPr>
            <w:r>
              <w:t xml:space="preserve">20</w:t>
            </w:r>
          </w:p>
        </w:tc>
        <w:tc>
          <w:tcPr/>
          <w:p>
            <w:pPr>
              <w:keepNext/>
              <w:pStyle w:val="Compact"/>
            </w:pPr>
            <w:r>
              <w:t xml:space="preserve">13.8634</w:t>
            </w:r>
          </w:p>
        </w:tc>
        <w:tc>
          <w:tcPr/>
          <w:p>
            <w:pPr>
              <w:keepNext/>
              <w:pStyle w:val="Compact"/>
            </w:pPr>
            <w:r>
              <w:t xml:space="preserve">13.8634</w:t>
            </w:r>
          </w:p>
        </w:tc>
        <w:tc>
          <w:tcPr/>
          <w:p>
            <w:pPr>
              <w:keepNext/>
              <w:pStyle w:val="Compact"/>
            </w:pPr>
            <w:r>
              <w:t xml:space="preserve">1.3e-16</w:t>
            </w:r>
          </w:p>
        </w:tc>
      </w:tr>
      <w:tr>
        <w:trPr>
          <w:cantSplit/>
        </w:trPr>
        <w:tc>
          <w:tcPr/>
          <w:p>
            <w:pPr>
              <w:keepNext/>
              <w:pStyle w:val="Compact"/>
            </w:pPr>
            <w:r>
              <w:t xml:space="preserve">15</w:t>
            </w:r>
          </w:p>
        </w:tc>
        <w:tc>
          <w:tcPr/>
          <w:p>
            <w:pPr>
              <w:keepNext/>
              <w:pStyle w:val="Compact"/>
            </w:pPr>
            <w:r>
              <w:t xml:space="preserve">5</w:t>
            </w:r>
          </w:p>
        </w:tc>
        <w:tc>
          <w:tcPr/>
          <w:p>
            <w:pPr>
              <w:keepNext/>
              <w:pStyle w:val="Compact"/>
            </w:pPr>
            <w:r>
              <w:t xml:space="preserve">20</w:t>
            </w:r>
          </w:p>
        </w:tc>
        <w:tc>
          <w:tcPr/>
          <w:p>
            <w:pPr>
              <w:keepNext/>
              <w:pStyle w:val="Compact"/>
            </w:pPr>
            <w:r>
              <w:t xml:space="preserve">23.2881</w:t>
            </w:r>
          </w:p>
        </w:tc>
        <w:tc>
          <w:tcPr/>
          <w:p>
            <w:pPr>
              <w:keepNext/>
              <w:pStyle w:val="Compact"/>
            </w:pPr>
            <w:r>
              <w:t xml:space="preserve">23.2881</w:t>
            </w:r>
          </w:p>
        </w:tc>
        <w:tc>
          <w:tcPr/>
          <w:p>
            <w:pPr>
              <w:keepNext/>
              <w:pStyle w:val="Compact"/>
            </w:pPr>
            <w:r>
              <w:t xml:space="preserve">0.0e+00</w:t>
            </w:r>
          </w:p>
        </w:tc>
      </w:tr>
      <w:tr>
        <w:trPr>
          <w:cantSplit/>
        </w:trPr>
        <w:tc>
          <w:tcPr/>
          <w:p>
            <w:pPr>
              <w:keepNext/>
              <w:pStyle w:val="Compact"/>
            </w:pPr>
            <w:r>
              <w:t xml:space="preserve">30</w:t>
            </w:r>
          </w:p>
        </w:tc>
        <w:tc>
          <w:tcPr/>
          <w:p>
            <w:pPr>
              <w:keepNext/>
              <w:pStyle w:val="Compact"/>
            </w:pPr>
            <w:r>
              <w:t xml:space="preserve">1.5</w:t>
            </w:r>
          </w:p>
        </w:tc>
        <w:tc>
          <w:tcPr/>
          <w:p>
            <w:pPr>
              <w:keepNext/>
              <w:pStyle w:val="Compact"/>
            </w:pPr>
            <w:r>
              <w:t xml:space="preserve">20</w:t>
            </w:r>
          </w:p>
        </w:tc>
        <w:tc>
          <w:tcPr/>
          <w:p>
            <w:pPr>
              <w:keepNext/>
              <w:pStyle w:val="Compact"/>
            </w:pPr>
            <w:r>
              <w:t xml:space="preserve">3.3706</w:t>
            </w:r>
          </w:p>
        </w:tc>
        <w:tc>
          <w:tcPr/>
          <w:p>
            <w:pPr>
              <w:keepNext/>
              <w:pStyle w:val="Compact"/>
            </w:pPr>
            <w:r>
              <w:t xml:space="preserve">3.3706</w:t>
            </w:r>
          </w:p>
        </w:tc>
        <w:tc>
          <w:tcPr/>
          <w:p>
            <w:pPr>
              <w:keepNext/>
              <w:pStyle w:val="Compact"/>
            </w:pPr>
            <w:r>
              <w:t xml:space="preserve">1.3e-16</w:t>
            </w:r>
          </w:p>
        </w:tc>
      </w:tr>
      <w:tr>
        <w:trPr>
          <w:cantSplit/>
        </w:trPr>
        <w:tc>
          <w:tcPr/>
          <w:p>
            <w:pPr>
              <w:keepNext/>
              <w:pStyle w:val="Compact"/>
            </w:pPr>
            <w:r>
              <w:t xml:space="preserve">30</w:t>
            </w:r>
          </w:p>
        </w:tc>
        <w:tc>
          <w:tcPr/>
          <w:p>
            <w:pPr>
              <w:keepNext/>
              <w:pStyle w:val="Compact"/>
            </w:pPr>
            <w:r>
              <w:t xml:space="preserve">3</w:t>
            </w:r>
          </w:p>
        </w:tc>
        <w:tc>
          <w:tcPr/>
          <w:p>
            <w:pPr>
              <w:keepNext/>
              <w:pStyle w:val="Compact"/>
            </w:pPr>
            <w:r>
              <w:t xml:space="preserve">20</w:t>
            </w:r>
          </w:p>
        </w:tc>
        <w:tc>
          <w:tcPr/>
          <w:p>
            <w:pPr>
              <w:keepNext/>
              <w:pStyle w:val="Compact"/>
            </w:pPr>
            <w:r>
              <w:t xml:space="preserve">6.9317</w:t>
            </w:r>
          </w:p>
        </w:tc>
        <w:tc>
          <w:tcPr/>
          <w:p>
            <w:pPr>
              <w:keepNext/>
              <w:pStyle w:val="Compact"/>
            </w:pPr>
            <w:r>
              <w:t xml:space="preserve">6.9317</w:t>
            </w:r>
          </w:p>
        </w:tc>
        <w:tc>
          <w:tcPr/>
          <w:p>
            <w:pPr>
              <w:keepNext/>
              <w:pStyle w:val="Compact"/>
            </w:pPr>
            <w:r>
              <w:t xml:space="preserve">1.3e-16</w:t>
            </w:r>
          </w:p>
        </w:tc>
      </w:tr>
      <w:tr>
        <w:trPr>
          <w:cantSplit/>
        </w:trPr>
        <w:tc>
          <w:tcPr/>
          <w:p>
            <w:pPr>
              <w:keepNext/>
              <w:pStyle w:val="Compact"/>
            </w:pPr>
            <w:r>
              <w:t xml:space="preserve">30</w:t>
            </w:r>
          </w:p>
        </w:tc>
        <w:tc>
          <w:tcPr/>
          <w:p>
            <w:pPr>
              <w:keepNext/>
              <w:pStyle w:val="Compact"/>
            </w:pPr>
            <w:r>
              <w:t xml:space="preserve">5</w:t>
            </w:r>
          </w:p>
        </w:tc>
        <w:tc>
          <w:tcPr/>
          <w:p>
            <w:pPr>
              <w:keepNext/>
              <w:pStyle w:val="Compact"/>
            </w:pPr>
            <w:r>
              <w:t xml:space="preserve">20</w:t>
            </w:r>
          </w:p>
        </w:tc>
        <w:tc>
          <w:tcPr/>
          <w:p>
            <w:pPr>
              <w:keepNext/>
              <w:pStyle w:val="Compact"/>
            </w:pPr>
            <w:r>
              <w:t xml:space="preserve">11.6440</w:t>
            </w:r>
          </w:p>
        </w:tc>
        <w:tc>
          <w:tcPr/>
          <w:p>
            <w:pPr>
              <w:keepNext/>
              <w:pStyle w:val="Compact"/>
            </w:pPr>
            <w:r>
              <w:t xml:space="preserve">11.6440</w:t>
            </w:r>
          </w:p>
        </w:tc>
        <w:tc>
          <w:tcPr/>
          <w:p>
            <w:pPr>
              <w:keepNext/>
              <w:pStyle w:val="Compact"/>
            </w:pPr>
            <w:r>
              <w:t xml:space="preserve">0.0e+00</w:t>
            </w:r>
          </w:p>
        </w:tc>
      </w:tr>
      <w:tr>
        <w:trPr>
          <w:cantSplit/>
        </w:trPr>
        <w:tc>
          <w:tcPr/>
          <w:p>
            <w:pPr>
              <w:keepNext/>
              <w:pStyle w:val="Compact"/>
            </w:pPr>
            <w:r>
              <w:t xml:space="preserve">60</w:t>
            </w:r>
          </w:p>
        </w:tc>
        <w:tc>
          <w:tcPr/>
          <w:p>
            <w:pPr>
              <w:keepNext/>
              <w:pStyle w:val="Compact"/>
            </w:pPr>
            <w:r>
              <w:t xml:space="preserve">1.5</w:t>
            </w:r>
          </w:p>
        </w:tc>
        <w:tc>
          <w:tcPr/>
          <w:p>
            <w:pPr>
              <w:keepNext/>
              <w:pStyle w:val="Compact"/>
            </w:pPr>
            <w:r>
              <w:t xml:space="preserve">20</w:t>
            </w:r>
          </w:p>
        </w:tc>
        <w:tc>
          <w:tcPr/>
          <w:p>
            <w:pPr>
              <w:keepNext/>
              <w:pStyle w:val="Compact"/>
            </w:pPr>
            <w:r>
              <w:t xml:space="preserve">1.6853</w:t>
            </w:r>
          </w:p>
        </w:tc>
        <w:tc>
          <w:tcPr/>
          <w:p>
            <w:pPr>
              <w:keepNext/>
              <w:pStyle w:val="Compact"/>
            </w:pPr>
            <w:r>
              <w:t xml:space="preserve">1.6853</w:t>
            </w:r>
          </w:p>
        </w:tc>
        <w:tc>
          <w:tcPr/>
          <w:p>
            <w:pPr>
              <w:keepNext/>
              <w:pStyle w:val="Compact"/>
            </w:pPr>
            <w:r>
              <w:t xml:space="preserve">1.3e-16</w:t>
            </w:r>
          </w:p>
        </w:tc>
      </w:tr>
      <w:tr>
        <w:trPr>
          <w:cantSplit/>
        </w:trPr>
        <w:tc>
          <w:tcPr/>
          <w:p>
            <w:pPr>
              <w:keepNext/>
              <w:pStyle w:val="Compact"/>
            </w:pPr>
            <w:r>
              <w:t xml:space="preserve">60</w:t>
            </w:r>
          </w:p>
        </w:tc>
        <w:tc>
          <w:tcPr/>
          <w:p>
            <w:pPr>
              <w:keepNext/>
              <w:pStyle w:val="Compact"/>
            </w:pPr>
            <w:r>
              <w:t xml:space="preserve">3</w:t>
            </w:r>
          </w:p>
        </w:tc>
        <w:tc>
          <w:tcPr/>
          <w:p>
            <w:pPr>
              <w:keepNext/>
              <w:pStyle w:val="Compact"/>
            </w:pPr>
            <w:r>
              <w:t xml:space="preserve">20</w:t>
            </w:r>
          </w:p>
        </w:tc>
        <w:tc>
          <w:tcPr/>
          <w:p>
            <w:pPr>
              <w:keepNext/>
              <w:pStyle w:val="Compact"/>
            </w:pPr>
            <w:r>
              <w:t xml:space="preserve">3.4659</w:t>
            </w:r>
          </w:p>
        </w:tc>
        <w:tc>
          <w:tcPr/>
          <w:p>
            <w:pPr>
              <w:keepNext/>
              <w:pStyle w:val="Compact"/>
            </w:pPr>
            <w:r>
              <w:t xml:space="preserve">3.4659</w:t>
            </w:r>
          </w:p>
        </w:tc>
        <w:tc>
          <w:tcPr/>
          <w:p>
            <w:pPr>
              <w:keepNext/>
              <w:pStyle w:val="Compact"/>
            </w:pPr>
            <w:r>
              <w:t xml:space="preserve">1.3e-16</w:t>
            </w:r>
          </w:p>
        </w:tc>
      </w:tr>
      <w:tr>
        <w:trPr>
          <w:cantSplit/>
        </w:trPr>
        <w:tc>
          <w:tcPr/>
          <w:p>
            <w:pPr>
              <w:keepNext/>
              <w:pStyle w:val="Compact"/>
            </w:pPr>
            <w:r>
              <w:t xml:space="preserve">60</w:t>
            </w:r>
          </w:p>
        </w:tc>
        <w:tc>
          <w:tcPr/>
          <w:p>
            <w:pPr>
              <w:keepNext/>
              <w:pStyle w:val="Compact"/>
            </w:pPr>
            <w:r>
              <w:t xml:space="preserve">5</w:t>
            </w:r>
          </w:p>
        </w:tc>
        <w:tc>
          <w:tcPr/>
          <w:p>
            <w:pPr>
              <w:keepNext/>
              <w:pStyle w:val="Compact"/>
            </w:pPr>
            <w:r>
              <w:t xml:space="preserve">20</w:t>
            </w:r>
          </w:p>
        </w:tc>
        <w:tc>
          <w:tcPr/>
          <w:p>
            <w:pPr>
              <w:keepNext/>
              <w:pStyle w:val="Compact"/>
            </w:pPr>
            <w:r>
              <w:t xml:space="preserve">5.8220</w:t>
            </w:r>
          </w:p>
        </w:tc>
        <w:tc>
          <w:tcPr/>
          <w:p>
            <w:pPr>
              <w:keepNext/>
              <w:pStyle w:val="Compact"/>
            </w:pPr>
            <w:r>
              <w:t xml:space="preserve">5.8220</w:t>
            </w:r>
          </w:p>
        </w:tc>
        <w:tc>
          <w:tcPr/>
          <w:p>
            <w:pPr>
              <w:keepNext/>
              <w:pStyle w:val="Compact"/>
            </w:pPr>
            <w:r>
              <w:t xml:space="preserve">0.0e+00</w:t>
            </w:r>
          </w:p>
        </w:tc>
      </w:tr>
      <w:tr>
        <w:trPr>
          <w:cantSplit/>
        </w:trPr>
        <w:tc>
          <w:tcPr/>
          <w:p>
            <w:pPr>
              <w:keepNext/>
              <w:pStyle w:val="Compact"/>
            </w:pPr>
            <w:r>
              <w:t xml:space="preserve">120</w:t>
            </w:r>
          </w:p>
        </w:tc>
        <w:tc>
          <w:tcPr/>
          <w:p>
            <w:pPr>
              <w:keepNext/>
              <w:pStyle w:val="Compact"/>
            </w:pPr>
            <w:r>
              <w:t xml:space="preserve">1.5</w:t>
            </w:r>
          </w:p>
        </w:tc>
        <w:tc>
          <w:tcPr/>
          <w:p>
            <w:pPr>
              <w:keepNext/>
              <w:pStyle w:val="Compact"/>
            </w:pPr>
            <w:r>
              <w:t xml:space="preserve">20</w:t>
            </w:r>
          </w:p>
        </w:tc>
        <w:tc>
          <w:tcPr/>
          <w:p>
            <w:pPr>
              <w:keepNext/>
              <w:pStyle w:val="Compact"/>
            </w:pPr>
            <w:r>
              <w:t xml:space="preserve">0.8427</w:t>
            </w:r>
          </w:p>
        </w:tc>
        <w:tc>
          <w:tcPr/>
          <w:p>
            <w:pPr>
              <w:keepNext/>
              <w:pStyle w:val="Compact"/>
            </w:pPr>
            <w:r>
              <w:t xml:space="preserve">0.8427</w:t>
            </w:r>
          </w:p>
        </w:tc>
        <w:tc>
          <w:tcPr/>
          <w:p>
            <w:pPr>
              <w:keepNext/>
              <w:pStyle w:val="Compact"/>
            </w:pPr>
            <w:r>
              <w:t xml:space="preserve">1.3e-16</w:t>
            </w:r>
          </w:p>
        </w:tc>
      </w:tr>
      <w:tr>
        <w:trPr>
          <w:cantSplit/>
        </w:trPr>
        <w:tc>
          <w:tcPr/>
          <w:p>
            <w:pPr>
              <w:keepNext/>
              <w:pStyle w:val="Compact"/>
            </w:pPr>
            <w:r>
              <w:t xml:space="preserve">120</w:t>
            </w:r>
          </w:p>
        </w:tc>
        <w:tc>
          <w:tcPr/>
          <w:p>
            <w:pPr>
              <w:keepNext/>
              <w:pStyle w:val="Compact"/>
            </w:pPr>
            <w:r>
              <w:t xml:space="preserve">3</w:t>
            </w:r>
          </w:p>
        </w:tc>
        <w:tc>
          <w:tcPr/>
          <w:p>
            <w:pPr>
              <w:keepNext/>
              <w:pStyle w:val="Compact"/>
            </w:pPr>
            <w:r>
              <w:t xml:space="preserve">20</w:t>
            </w:r>
          </w:p>
        </w:tc>
        <w:tc>
          <w:tcPr/>
          <w:p>
            <w:pPr>
              <w:keepNext/>
              <w:pStyle w:val="Compact"/>
            </w:pPr>
            <w:r>
              <w:t xml:space="preserve">1.7329</w:t>
            </w:r>
          </w:p>
        </w:tc>
        <w:tc>
          <w:tcPr/>
          <w:p>
            <w:pPr>
              <w:keepNext/>
              <w:pStyle w:val="Compact"/>
            </w:pPr>
            <w:r>
              <w:t xml:space="preserve">1.7329</w:t>
            </w:r>
          </w:p>
        </w:tc>
        <w:tc>
          <w:tcPr/>
          <w:p>
            <w:pPr>
              <w:keepNext/>
              <w:pStyle w:val="Compact"/>
            </w:pPr>
            <w:r>
              <w:t xml:space="preserve">1.3e-16</w:t>
            </w:r>
          </w:p>
        </w:tc>
      </w:tr>
      <w:tr>
        <w:trPr>
          <w:cantSplit/>
        </w:trPr>
        <w:tc>
          <w:tcPr/>
          <w:p>
            <w:pPr>
              <w:pStyle w:val="Compact"/>
            </w:pPr>
            <w:r>
              <w:t xml:space="preserve">120</w:t>
            </w:r>
          </w:p>
        </w:tc>
        <w:tc>
          <w:tcPr/>
          <w:p>
            <w:pPr>
              <w:pStyle w:val="Compact"/>
            </w:pPr>
            <w:r>
              <w:t xml:space="preserve">5</w:t>
            </w:r>
          </w:p>
        </w:tc>
        <w:tc>
          <w:tcPr/>
          <w:p>
            <w:pPr>
              <w:pStyle w:val="Compact"/>
            </w:pPr>
            <w:r>
              <w:t xml:space="preserve">20</w:t>
            </w:r>
          </w:p>
        </w:tc>
        <w:tc>
          <w:tcPr/>
          <w:p>
            <w:pPr>
              <w:pStyle w:val="Compact"/>
            </w:pPr>
            <w:r>
              <w:t xml:space="preserve">2.9110</w:t>
            </w:r>
          </w:p>
        </w:tc>
        <w:tc>
          <w:tcPr/>
          <w:p>
            <w:pPr>
              <w:pStyle w:val="Compact"/>
            </w:pPr>
            <w:r>
              <w:t xml:space="preserve">2.9110</w:t>
            </w:r>
          </w:p>
        </w:tc>
        <w:tc>
          <w:tcPr/>
          <w:p>
            <w:pPr>
              <w:pStyle w:val="Compact"/>
            </w:pPr>
            <w:r>
              <w:t xml:space="preserve">0.0e+00</w:t>
            </w:r>
          </w:p>
        </w:tc>
      </w:tr>
    </w:tbl>
    <w:bookmarkEnd w:id="12"/>
    <w:bookmarkEnd w:id="13"/>
    <w:bookmarkStart w:id="15" w:name="s3.-estimator-sensitivity"/>
    <w:p>
      <w:pPr>
        <w:pStyle w:val="Heading2"/>
      </w:pPr>
      <w:r>
        <w:t xml:space="preserve">S3. Estimator sensitivity</w:t>
      </w:r>
    </w:p>
    <w:bookmarkStart w:id="14" w:name="X347d57fa6a2d48f2d347e29d3476b4ec473d99e"/>
    <w:p>
      <w:pPr>
        <w:pStyle w:val="Heading3"/>
      </w:pPr>
      <w:r>
        <w:t xml:space="preserve">S3.1 Cross-fitting against a single split (Table S2)</w:t>
      </w:r>
    </w:p>
    <w:p>
      <w:pPr>
        <w:pStyle w:val="FirstParagraph"/>
      </w:pPr>
      <w:r>
        <w:t xml:space="preserve">Table S2 compares the cross-fitted estimator used throughout this study with the single 50/50 split used in the earlier single-realization analysis, at matched conditions of the dose sweep in the representative realization. Recovery is the estimated</w:t>
      </w:r>
      <w:r>
        <w:t xml:space="preserve"> </w:t>
      </w:r>
      <w:r>
        <w:rPr>
          <w:rStyle w:val="VerbatimChar"/>
        </w:rPr>
        <w:t xml:space="preserve">d'</w:t>
      </w:r>
      <w:r>
        <w:t xml:space="preserve"> </w:t>
      </w:r>
      <w:r>
        <w:t xml:space="preserve">as a fraction of the analytic ceiling of the same input; recovery slightly above</w:t>
      </w:r>
      <w:r>
        <w:t xml:space="preserve"> </w:t>
      </w:r>
      <w:r>
        <w:rPr>
          <w:rStyle w:val="VerbatimChar"/>
        </w:rPr>
        <w:t xml:space="preserve">100%</w:t>
      </w:r>
      <w:r>
        <w:t xml:space="preserve"> </w:t>
      </w:r>
      <w:r>
        <w:t xml:space="preserve">at the highest doses is sampling noise in the</w:t>
      </w:r>
      <w:r>
        <w:t xml:space="preserve"> </w:t>
      </w:r>
      <w:r>
        <w:rPr>
          <w:rStyle w:val="VerbatimChar"/>
        </w:rPr>
        <w:t xml:space="preserve">d'</w:t>
      </w:r>
      <w:r>
        <w:t xml:space="preserve"> </w:t>
      </w:r>
      <w:r>
        <w:t xml:space="preserve">estimate, not a breached bound, since the ceiling test is armwise, in AUC, and carries its own margin (Section 3.4).</w:t>
      </w:r>
    </w:p>
    <w:p>
      <w:pPr>
        <w:keepNext/>
        <w:pStyle w:val="BodyText"/>
      </w:pPr>
      <w:r>
        <w:rPr>
          <w:b/>
          <w:bCs/>
        </w:rPr>
        <w:t xml:space="preserve">Table S2.</w:t>
      </w:r>
      <w:r>
        <w:t xml:space="preserve"> </w:t>
      </w:r>
      <w:r>
        <w:t xml:space="preserve">Estimator sensitivity on unprocessed images of the dose sweep in the representative realization (seed 20260101): the 5-fold cross-fitted estimator used throughout against the single 50/50 split used in the earlier single-realization analysis. Recovery is the estimated d′ as a fraction of the analytic ceiling of the same input. Recovery slightly above 100% at the highest doses is sampling noise in the d′ estimate, not a breached bound: the ceiling test is armwise, in AUC, and carries its own margin (Section 3.4).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val="on"/>
        </w:trPr>
        <w:tc>
          <w:tcPr/>
          <w:p>
            <w:pPr>
              <w:keepNext/>
              <w:pStyle w:val="Compact"/>
            </w:pPr>
            <w:r>
              <w:t xml:space="preserve">mAs</w:t>
            </w:r>
          </w:p>
        </w:tc>
        <w:tc>
          <w:tcPr/>
          <w:p>
            <w:pPr>
              <w:keepNext/>
              <w:pStyle w:val="Compact"/>
            </w:pPr>
            <w:r>
              <w:t xml:space="preserve">ceiling d′</w:t>
            </w:r>
          </w:p>
        </w:tc>
        <w:tc>
          <w:tcPr/>
          <w:p>
            <w:pPr>
              <w:keepNext/>
              <w:pStyle w:val="Compact"/>
            </w:pPr>
            <w:r>
              <w:t xml:space="preserve">cross-fit d′</w:t>
            </w:r>
          </w:p>
        </w:tc>
        <w:tc>
          <w:tcPr/>
          <w:p>
            <w:pPr>
              <w:keepNext/>
              <w:pStyle w:val="Compact"/>
            </w:pPr>
            <w:r>
              <w:t xml:space="preserve">recovery</w:t>
            </w:r>
          </w:p>
        </w:tc>
        <w:tc>
          <w:tcPr/>
          <w:p>
            <w:pPr>
              <w:keepNext/>
              <w:pStyle w:val="Compact"/>
            </w:pPr>
            <w:r>
              <w:t xml:space="preserve">split d′</w:t>
            </w:r>
          </w:p>
        </w:tc>
        <w:tc>
          <w:tcPr/>
          <w:p>
            <w:pPr>
              <w:keepNext/>
              <w:pStyle w:val="Compact"/>
            </w:pPr>
            <w:r>
              <w:t xml:space="preserve">recovery</w:t>
            </w:r>
          </w:p>
        </w:tc>
      </w:tr>
      <w:tr>
        <w:trPr>
          <w:cantSplit/>
        </w:trPr>
        <w:tc>
          <w:tcPr/>
          <w:p>
            <w:pPr>
              <w:keepNext/>
              <w:pStyle w:val="Compact"/>
            </w:pPr>
            <w:r>
              <w:t xml:space="preserve">200</w:t>
            </w:r>
          </w:p>
        </w:tc>
        <w:tc>
          <w:tcPr/>
          <w:p>
            <w:pPr>
              <w:keepNext/>
              <w:pStyle w:val="Compact"/>
            </w:pPr>
            <w:r>
              <w:t xml:space="preserve">9.803</w:t>
            </w:r>
          </w:p>
        </w:tc>
        <w:tc>
          <w:tcPr/>
          <w:p>
            <w:pPr>
              <w:keepNext/>
              <w:pStyle w:val="Compact"/>
            </w:pPr>
            <w:r>
              <w:t xml:space="preserve">9.840</w:t>
            </w:r>
          </w:p>
        </w:tc>
        <w:tc>
          <w:tcPr/>
          <w:p>
            <w:pPr>
              <w:keepNext/>
              <w:pStyle w:val="Compact"/>
            </w:pPr>
            <w:r>
              <w:t xml:space="preserve">100%</w:t>
            </w:r>
          </w:p>
        </w:tc>
        <w:tc>
          <w:tcPr/>
          <w:p>
            <w:pPr>
              <w:keepNext/>
              <w:pStyle w:val="Compact"/>
            </w:pPr>
            <w:r>
              <w:t xml:space="preserve">9.873</w:t>
            </w:r>
          </w:p>
        </w:tc>
        <w:tc>
          <w:tcPr/>
          <w:p>
            <w:pPr>
              <w:keepNext/>
              <w:pStyle w:val="Compact"/>
            </w:pPr>
            <w:r>
              <w:t xml:space="preserve">101%</w:t>
            </w:r>
          </w:p>
        </w:tc>
      </w:tr>
      <w:tr>
        <w:trPr>
          <w:cantSplit/>
        </w:trPr>
        <w:tc>
          <w:tcPr/>
          <w:p>
            <w:pPr>
              <w:keepNext/>
              <w:pStyle w:val="Compact"/>
            </w:pPr>
            <w:r>
              <w:t xml:space="preserve">100</w:t>
            </w:r>
          </w:p>
        </w:tc>
        <w:tc>
          <w:tcPr/>
          <w:p>
            <w:pPr>
              <w:keepNext/>
              <w:pStyle w:val="Compact"/>
            </w:pPr>
            <w:r>
              <w:t xml:space="preserve">6.932</w:t>
            </w:r>
          </w:p>
        </w:tc>
        <w:tc>
          <w:tcPr/>
          <w:p>
            <w:pPr>
              <w:keepNext/>
              <w:pStyle w:val="Compact"/>
            </w:pPr>
            <w:r>
              <w:t xml:space="preserve">6.899</w:t>
            </w:r>
          </w:p>
        </w:tc>
        <w:tc>
          <w:tcPr/>
          <w:p>
            <w:pPr>
              <w:keepNext/>
              <w:pStyle w:val="Compact"/>
            </w:pPr>
            <w:r>
              <w:t xml:space="preserve">100%</w:t>
            </w:r>
          </w:p>
        </w:tc>
        <w:tc>
          <w:tcPr/>
          <w:p>
            <w:pPr>
              <w:keepNext/>
              <w:pStyle w:val="Compact"/>
            </w:pPr>
            <w:r>
              <w:t xml:space="preserve">6.880</w:t>
            </w:r>
          </w:p>
        </w:tc>
        <w:tc>
          <w:tcPr/>
          <w:p>
            <w:pPr>
              <w:keepNext/>
              <w:pStyle w:val="Compact"/>
            </w:pPr>
            <w:r>
              <w:t xml:space="preserve">99%</w:t>
            </w:r>
          </w:p>
        </w:tc>
      </w:tr>
      <w:tr>
        <w:trPr>
          <w:cantSplit/>
        </w:trPr>
        <w:tc>
          <w:tcPr/>
          <w:p>
            <w:pPr>
              <w:keepNext/>
              <w:pStyle w:val="Compact"/>
            </w:pPr>
            <w:r>
              <w:t xml:space="preserve">50</w:t>
            </w:r>
          </w:p>
        </w:tc>
        <w:tc>
          <w:tcPr/>
          <w:p>
            <w:pPr>
              <w:keepNext/>
              <w:pStyle w:val="Compact"/>
            </w:pPr>
            <w:r>
              <w:t xml:space="preserve">4.901</w:t>
            </w:r>
          </w:p>
        </w:tc>
        <w:tc>
          <w:tcPr/>
          <w:p>
            <w:pPr>
              <w:keepNext/>
              <w:pStyle w:val="Compact"/>
            </w:pPr>
            <w:r>
              <w:t xml:space="preserve">4.824</w:t>
            </w:r>
          </w:p>
        </w:tc>
        <w:tc>
          <w:tcPr/>
          <w:p>
            <w:pPr>
              <w:keepNext/>
              <w:pStyle w:val="Compact"/>
            </w:pPr>
            <w:r>
              <w:t xml:space="preserve">98%</w:t>
            </w:r>
          </w:p>
        </w:tc>
        <w:tc>
          <w:tcPr/>
          <w:p>
            <w:pPr>
              <w:keepNext/>
              <w:pStyle w:val="Compact"/>
            </w:pPr>
            <w:r>
              <w:t xml:space="preserve">4.828</w:t>
            </w:r>
          </w:p>
        </w:tc>
        <w:tc>
          <w:tcPr/>
          <w:p>
            <w:pPr>
              <w:keepNext/>
              <w:pStyle w:val="Compact"/>
            </w:pPr>
            <w:r>
              <w:t xml:space="preserve">98%</w:t>
            </w:r>
          </w:p>
        </w:tc>
      </w:tr>
      <w:tr>
        <w:trPr>
          <w:cantSplit/>
        </w:trPr>
        <w:tc>
          <w:tcPr/>
          <w:p>
            <w:pPr>
              <w:keepNext/>
              <w:pStyle w:val="Compact"/>
            </w:pPr>
            <w:r>
              <w:t xml:space="preserve">25</w:t>
            </w:r>
          </w:p>
        </w:tc>
        <w:tc>
          <w:tcPr/>
          <w:p>
            <w:pPr>
              <w:keepNext/>
              <w:pStyle w:val="Compact"/>
            </w:pPr>
            <w:r>
              <w:t xml:space="preserve">3.466</w:t>
            </w:r>
          </w:p>
        </w:tc>
        <w:tc>
          <w:tcPr/>
          <w:p>
            <w:pPr>
              <w:keepNext/>
              <w:pStyle w:val="Compact"/>
            </w:pPr>
            <w:r>
              <w:t xml:space="preserve">3.407</w:t>
            </w:r>
          </w:p>
        </w:tc>
        <w:tc>
          <w:tcPr/>
          <w:p>
            <w:pPr>
              <w:keepNext/>
              <w:pStyle w:val="Compact"/>
            </w:pPr>
            <w:r>
              <w:t xml:space="preserve">98%</w:t>
            </w:r>
          </w:p>
        </w:tc>
        <w:tc>
          <w:tcPr/>
          <w:p>
            <w:pPr>
              <w:keepNext/>
              <w:pStyle w:val="Compact"/>
            </w:pPr>
            <w:r>
              <w:t xml:space="preserve">3.310</w:t>
            </w:r>
          </w:p>
        </w:tc>
        <w:tc>
          <w:tcPr/>
          <w:p>
            <w:pPr>
              <w:keepNext/>
              <w:pStyle w:val="Compact"/>
            </w:pPr>
            <w:r>
              <w:t xml:space="preserve">96%</w:t>
            </w:r>
          </w:p>
        </w:tc>
      </w:tr>
      <w:tr>
        <w:trPr>
          <w:cantSplit/>
        </w:trPr>
        <w:tc>
          <w:tcPr/>
          <w:p>
            <w:pPr>
              <w:keepNext/>
              <w:pStyle w:val="Compact"/>
            </w:pPr>
            <w:r>
              <w:t xml:space="preserve">12.5</w:t>
            </w:r>
          </w:p>
        </w:tc>
        <w:tc>
          <w:tcPr/>
          <w:p>
            <w:pPr>
              <w:keepNext/>
              <w:pStyle w:val="Compact"/>
            </w:pPr>
            <w:r>
              <w:t xml:space="preserve">2.451</w:t>
            </w:r>
          </w:p>
        </w:tc>
        <w:tc>
          <w:tcPr/>
          <w:p>
            <w:pPr>
              <w:keepNext/>
              <w:pStyle w:val="Compact"/>
            </w:pPr>
            <w:r>
              <w:t xml:space="preserve">2.256</w:t>
            </w:r>
          </w:p>
        </w:tc>
        <w:tc>
          <w:tcPr/>
          <w:p>
            <w:pPr>
              <w:keepNext/>
              <w:pStyle w:val="Compact"/>
            </w:pPr>
            <w:r>
              <w:t xml:space="preserve">92%</w:t>
            </w:r>
          </w:p>
        </w:tc>
        <w:tc>
          <w:tcPr/>
          <w:p>
            <w:pPr>
              <w:keepNext/>
              <w:pStyle w:val="Compact"/>
            </w:pPr>
            <w:r>
              <w:t xml:space="preserve">2.216</w:t>
            </w:r>
          </w:p>
        </w:tc>
        <w:tc>
          <w:tcPr/>
          <w:p>
            <w:pPr>
              <w:keepNext/>
              <w:pStyle w:val="Compact"/>
            </w:pPr>
            <w:r>
              <w:t xml:space="preserve">90%</w:t>
            </w:r>
          </w:p>
        </w:tc>
      </w:tr>
      <w:tr>
        <w:trPr>
          <w:cantSplit/>
        </w:trPr>
        <w:tc>
          <w:tcPr/>
          <w:p>
            <w:pPr>
              <w:keepNext/>
              <w:pStyle w:val="Compact"/>
            </w:pPr>
            <w:r>
              <w:t xml:space="preserve">6.25</w:t>
            </w:r>
          </w:p>
        </w:tc>
        <w:tc>
          <w:tcPr/>
          <w:p>
            <w:pPr>
              <w:keepNext/>
              <w:pStyle w:val="Compact"/>
            </w:pPr>
            <w:r>
              <w:t xml:space="preserve">1.733</w:t>
            </w:r>
          </w:p>
        </w:tc>
        <w:tc>
          <w:tcPr/>
          <w:p>
            <w:pPr>
              <w:keepNext/>
              <w:pStyle w:val="Compact"/>
            </w:pPr>
            <w:r>
              <w:t xml:space="preserve">1.554</w:t>
            </w:r>
          </w:p>
        </w:tc>
        <w:tc>
          <w:tcPr/>
          <w:p>
            <w:pPr>
              <w:keepNext/>
              <w:pStyle w:val="Compact"/>
            </w:pPr>
            <w:r>
              <w:t xml:space="preserve">90%</w:t>
            </w:r>
          </w:p>
        </w:tc>
        <w:tc>
          <w:tcPr/>
          <w:p>
            <w:pPr>
              <w:keepNext/>
              <w:pStyle w:val="Compact"/>
            </w:pPr>
            <w:r>
              <w:t xml:space="preserve">1.357</w:t>
            </w:r>
          </w:p>
        </w:tc>
        <w:tc>
          <w:tcPr/>
          <w:p>
            <w:pPr>
              <w:keepNext/>
              <w:pStyle w:val="Compact"/>
            </w:pPr>
            <w:r>
              <w:t xml:space="preserve">78%</w:t>
            </w:r>
          </w:p>
        </w:tc>
      </w:tr>
      <w:tr>
        <w:trPr>
          <w:cantSplit/>
        </w:trPr>
        <w:tc>
          <w:tcPr/>
          <w:p>
            <w:pPr>
              <w:pStyle w:val="Compact"/>
            </w:pPr>
            <w:r>
              <w:t xml:space="preserve">3.125</w:t>
            </w:r>
          </w:p>
        </w:tc>
        <w:tc>
          <w:tcPr/>
          <w:p>
            <w:pPr>
              <w:pStyle w:val="Compact"/>
            </w:pPr>
            <w:r>
              <w:t xml:space="preserve">1.225</w:t>
            </w:r>
          </w:p>
        </w:tc>
        <w:tc>
          <w:tcPr/>
          <w:p>
            <w:pPr>
              <w:pStyle w:val="Compact"/>
            </w:pPr>
            <w:r>
              <w:t xml:space="preserve">1.054</w:t>
            </w:r>
          </w:p>
        </w:tc>
        <w:tc>
          <w:tcPr/>
          <w:p>
            <w:pPr>
              <w:pStyle w:val="Compact"/>
            </w:pPr>
            <w:r>
              <w:t xml:space="preserve">86%</w:t>
            </w:r>
          </w:p>
        </w:tc>
        <w:tc>
          <w:tcPr/>
          <w:p>
            <w:pPr>
              <w:pStyle w:val="Compact"/>
            </w:pPr>
            <w:r>
              <w:t xml:space="preserve">0.850</w:t>
            </w:r>
          </w:p>
        </w:tc>
        <w:tc>
          <w:tcPr/>
          <w:p>
            <w:pPr>
              <w:pStyle w:val="Compact"/>
            </w:pPr>
            <w:r>
              <w:t xml:space="preserve">69%</w:t>
            </w:r>
          </w:p>
        </w:tc>
      </w:tr>
    </w:tbl>
    <w:bookmarkEnd w:id="14"/>
    <w:bookmarkEnd w:id="15"/>
    <w:bookmarkStart w:id="19" w:name="Xe71e178da170dae75a057339bfb635c17809665"/>
    <w:p>
      <w:pPr>
        <w:pStyle w:val="Heading2"/>
      </w:pPr>
      <w:r>
        <w:t xml:space="preserve">S4. The learned denoiser used in the synthetic demonstration</w:t>
      </w:r>
    </w:p>
    <w:p>
      <w:pPr>
        <w:pStyle w:val="FirstParagraph"/>
      </w:pPr>
      <w:r>
        <w:t xml:space="preserve">This network is the synthetic-arm demonstration network and is distinct from the real-data CNNs described in Section 2.9.</w:t>
      </w:r>
    </w:p>
    <w:p>
      <w:pPr>
        <w:pStyle w:val="BodyText"/>
      </w:pPr>
      <w:r>
        <w:t xml:space="preserve">The convolutional network is a small residual (DnCNN-style) model trained deterministically on CPU on synthetic pairs spanning dose, with a checkpoint whose parameter hash is recorded in</w:t>
      </w:r>
      <w:r>
        <w:t xml:space="preserve"> </w:t>
      </w:r>
      <w:r>
        <w:rPr>
          <w:rStyle w:val="VerbatimChar"/>
        </w:rPr>
        <w:t xml:space="preserve">results/cnn_training.json</w:t>
      </w:r>
      <w:r>
        <w:t xml:space="preserve">. It is blind to the noise level at inference: each image is normalized by a noise standard deviation estimated from that image alone. It is evaluated at one prespecified low-dose setting outside the primary matrix and contributes to no primary endpoint.</w:t>
      </w:r>
    </w:p>
    <w:p>
      <w:pPr>
        <w:pStyle w:val="BodyText"/>
      </w:pPr>
      <w:r>
        <w:t xml:space="preserve">Figure S1 is the red-lamp console at three settings of the demonstration, with the network as the processing: the unprocessed input, the processed image, both verdicts and the reason each earned. The interactive version of the same record is</w:t>
      </w:r>
      <w:r>
        <w:t xml:space="preserve"> </w:t>
      </w:r>
      <w:r>
        <w:rPr>
          <w:rStyle w:val="VerbatimChar"/>
        </w:rPr>
        <w:t xml:space="preserve">paper/figures/redlamp_console.html</w:t>
      </w:r>
      <w:r>
        <w:t xml:space="preserve"> </w:t>
      </w:r>
      <w:r>
        <w:t xml:space="preserve">in the repository.</w:t>
      </w:r>
    </w:p>
    <w:p>
      <w:pPr>
        <w:pStyle w:val="CaptionedFigure"/>
      </w:pPr>
      <w:r>
        <w:drawing>
          <wp:inline>
            <wp:extent cx="5334000" cy="5079257"/>
            <wp:effectExtent b="0" l="0" r="0" t="0"/>
            <wp:docPr descr="Figure S1. The red-lamp console for the learned denoiser: the input’s detectability against the floor, unprocessed and processed tiles, and each verdict with its reason." title="" id="17" name="Picture"/>
            <a:graphic>
              <a:graphicData uri="http://schemas.openxmlformats.org/drawingml/2006/picture">
                <pic:pic>
                  <pic:nvPicPr>
                    <pic:cNvPr descr="D:/DevGit/CT-Noise_Core/paper/figures/figS1_redlamp_console.png" id="18" name="Picture"/>
                    <pic:cNvPicPr>
                      <a:picLocks noChangeArrowheads="1" noChangeAspect="1"/>
                    </pic:cNvPicPr>
                  </pic:nvPicPr>
                  <pic:blipFill>
                    <a:blip r:embed="rId16"/>
                    <a:stretch>
                      <a:fillRect/>
                    </a:stretch>
                  </pic:blipFill>
                  <pic:spPr bwMode="auto">
                    <a:xfrm>
                      <a:off x="0" y="0"/>
                      <a:ext cx="5334000" cy="5079257"/>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The red-lamp console for the learned denoiser: the input’s detectability against the floor, unprocessed and processed tiles, and each verdict with its reason.</w:t>
      </w:r>
    </w:p>
    <w:bookmarkEnd w:id="19"/>
    <w:bookmarkStart w:id="21" w:name="s5.-floor-stratified-failure-patterns"/>
    <w:p>
      <w:pPr>
        <w:pStyle w:val="Heading2"/>
      </w:pPr>
      <w:r>
        <w:t xml:space="preserve">S5. Floor-stratified failure patterns</w:t>
      </w:r>
    </w:p>
    <w:bookmarkStart w:id="20" w:name="s5.1-full-comparison-table-s3"/>
    <w:p>
      <w:pPr>
        <w:pStyle w:val="Heading3"/>
      </w:pPr>
      <w:r>
        <w:t xml:space="preserve">S5.1 Full comparison (Table S3)</w:t>
      </w:r>
    </w:p>
    <w:p>
      <w:pPr>
        <w:pStyle w:val="FirstParagraph"/>
      </w:pPr>
      <w:r>
        <w:t xml:space="preserve">Table S3 gives every stratified quantity of Section 3.5 with its clustered interval: divergence rate, erasure rate, excess lesion-like response rate, observer-dependent benefit, mean task degradation and the verdict distribution, for each of the three strata.</w:t>
      </w:r>
    </w:p>
    <w:p>
      <w:pPr>
        <w:keepNext/>
        <w:pStyle w:val="BodyText"/>
      </w:pPr>
      <w:r>
        <w:rPr>
          <w:b/>
          <w:bCs/>
        </w:rPr>
        <w:t xml:space="preserve">Table S3.</w:t>
      </w:r>
      <w:r>
        <w:t xml:space="preserve"> </w:t>
      </w:r>
      <w:r>
        <w:t xml:space="preserve">Failure patterns by floor stratum, as rate or mean [95% CI] from the clustered bootstrap. The columns are the divergence rate, the contrast-erasure rate, the excess lesion-like response rate (excess resp.), the mean task degradation (task degr.), the observer-dependent benefit and the gauge verdict counts. Strata are defined by the analytic ceiling of the</w:t>
      </w:r>
      <w:r>
        <w:t xml:space="preserve"> </w:t>
      </w:r>
      <w:r>
        <w:rPr>
          <w:i/>
          <w:iCs/>
        </w:rPr>
        <w:t xml:space="preserve">input</w:t>
      </w:r>
      <w:r>
        <w:t xml:space="preserve"> </w:t>
      </w:r>
      <w:r>
        <w:t xml:space="preserve">condition against the prespecified requirement; the floor stratifies conditions and is not claimed to cause the failures. Verdict counts are the gauge’s, and below the floor they are red by construction, since an input that fails the requirement is itself a red rule.</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val="on"/>
        </w:trPr>
        <w:tc>
          <w:tcPr/>
          <w:p>
            <w:pPr>
              <w:keepNext/>
              <w:pStyle w:val="Compact"/>
            </w:pPr>
            <w:r>
              <w:t xml:space="preserve">stratum</w:t>
            </w:r>
          </w:p>
        </w:tc>
        <w:tc>
          <w:tcPr/>
          <w:p>
            <w:pPr>
              <w:keepNext/>
              <w:pStyle w:val="Compact"/>
            </w:pPr>
            <w:r>
              <w:t xml:space="preserve">above floor</w:t>
            </w:r>
          </w:p>
        </w:tc>
        <w:tc>
          <w:tcPr/>
          <w:p>
            <w:pPr>
              <w:keepNext/>
              <w:pStyle w:val="Compact"/>
            </w:pPr>
            <w:r>
              <w:t xml:space="preserve">marginal</w:t>
            </w:r>
          </w:p>
        </w:tc>
        <w:tc>
          <w:tcPr/>
          <w:p>
            <w:pPr>
              <w:keepNext/>
              <w:pStyle w:val="Compact"/>
            </w:pPr>
            <w:r>
              <w:t xml:space="preserve">below floor</w:t>
            </w:r>
          </w:p>
        </w:tc>
      </w:tr>
      <w:tr>
        <w:trPr>
          <w:cantSplit/>
        </w:trPr>
        <w:tc>
          <w:tcPr/>
          <w:p>
            <w:pPr>
              <w:keepNext/>
              <w:pStyle w:val="Compact"/>
            </w:pPr>
            <w:r>
              <w:t xml:space="preserve">n</w:t>
            </w:r>
          </w:p>
        </w:tc>
        <w:tc>
          <w:tcPr/>
          <w:p>
            <w:pPr>
              <w:keepNext/>
              <w:pStyle w:val="Compact"/>
            </w:pPr>
            <w:r>
              <w:t xml:space="preserve">130</w:t>
            </w:r>
          </w:p>
        </w:tc>
        <w:tc>
          <w:tcPr/>
          <w:p>
            <w:pPr>
              <w:keepNext/>
              <w:pStyle w:val="Compact"/>
            </w:pPr>
            <w:r>
              <w:t xml:space="preserve">30</w:t>
            </w:r>
          </w:p>
        </w:tc>
        <w:tc>
          <w:tcPr/>
          <w:p>
            <w:pPr>
              <w:keepNext/>
              <w:pStyle w:val="Compact"/>
            </w:pPr>
            <w:r>
              <w:t xml:space="preserve">390</w:t>
            </w:r>
          </w:p>
        </w:tc>
      </w:tr>
      <w:tr>
        <w:trPr>
          <w:cantSplit/>
        </w:trPr>
        <w:tc>
          <w:tcPr/>
          <w:p>
            <w:pPr>
              <w:keepNext/>
              <w:pStyle w:val="Compact"/>
            </w:pPr>
            <w:r>
              <w:t xml:space="preserve">divergent</w:t>
            </w:r>
          </w:p>
        </w:tc>
        <w:tc>
          <w:tcPr/>
          <w:p>
            <w:pPr>
              <w:keepNext/>
              <w:pStyle w:val="Compact"/>
            </w:pPr>
            <w:r>
              <w:t xml:space="preserve">100.0% [100.0%, 100.0%]</w:t>
            </w:r>
          </w:p>
        </w:tc>
        <w:tc>
          <w:tcPr/>
          <w:p>
            <w:pPr>
              <w:keepNext/>
              <w:pStyle w:val="Compact"/>
            </w:pPr>
            <w:r>
              <w:t xml:space="preserve">100.0% [100.0%, 100.0%]</w:t>
            </w:r>
          </w:p>
        </w:tc>
        <w:tc>
          <w:tcPr/>
          <w:p>
            <w:pPr>
              <w:keepNext/>
              <w:pStyle w:val="Compact"/>
            </w:pPr>
            <w:r>
              <w:t xml:space="preserve">83.3% [81.3%, 85.4%]</w:t>
            </w:r>
          </w:p>
        </w:tc>
      </w:tr>
      <w:tr>
        <w:trPr>
          <w:cantSplit/>
        </w:trPr>
        <w:tc>
          <w:tcPr/>
          <w:p>
            <w:pPr>
              <w:keepNext/>
              <w:pStyle w:val="Compact"/>
            </w:pPr>
            <w:r>
              <w:t xml:space="preserve">erasure</w:t>
            </w:r>
          </w:p>
        </w:tc>
        <w:tc>
          <w:tcPr/>
          <w:p>
            <w:pPr>
              <w:keepNext/>
              <w:pStyle w:val="Compact"/>
            </w:pPr>
            <w:r>
              <w:t xml:space="preserve">3.8% [1.5%, 6.2%]</w:t>
            </w:r>
          </w:p>
        </w:tc>
        <w:tc>
          <w:tcPr/>
          <w:p>
            <w:pPr>
              <w:keepNext/>
              <w:pStyle w:val="Compact"/>
            </w:pPr>
            <w:r>
              <w:t xml:space="preserve">0.0% [0.0%, 0.0%]</w:t>
            </w:r>
          </w:p>
        </w:tc>
        <w:tc>
          <w:tcPr/>
          <w:p>
            <w:pPr>
              <w:keepNext/>
              <w:pStyle w:val="Compact"/>
            </w:pPr>
            <w:r>
              <w:t xml:space="preserve">5.1% [5.1%, 5.1%]</w:t>
            </w:r>
          </w:p>
        </w:tc>
      </w:tr>
      <w:tr>
        <w:trPr>
          <w:cantSplit/>
        </w:trPr>
        <w:tc>
          <w:tcPr/>
          <w:p>
            <w:pPr>
              <w:keepNext/>
              <w:pStyle w:val="Compact"/>
            </w:pPr>
            <w:r>
              <w:t xml:space="preserve">excess resp.</w:t>
            </w:r>
          </w:p>
        </w:tc>
        <w:tc>
          <w:tcPr/>
          <w:p>
            <w:pPr>
              <w:keepNext/>
              <w:pStyle w:val="Compact"/>
            </w:pPr>
            <w:r>
              <w:t xml:space="preserve">0.0% [0.0%, 0.0%]</w:t>
            </w:r>
          </w:p>
        </w:tc>
        <w:tc>
          <w:tcPr/>
          <w:p>
            <w:pPr>
              <w:keepNext/>
              <w:pStyle w:val="Compact"/>
            </w:pPr>
            <w:r>
              <w:t xml:space="preserve">0.0% [0.0%, 0.0%]</w:t>
            </w:r>
          </w:p>
        </w:tc>
        <w:tc>
          <w:tcPr/>
          <w:p>
            <w:pPr>
              <w:keepNext/>
              <w:pStyle w:val="Compact"/>
            </w:pPr>
            <w:r>
              <w:t xml:space="preserve">0.0% [0.0%, 0.0%]</w:t>
            </w:r>
          </w:p>
        </w:tc>
      </w:tr>
      <w:tr>
        <w:trPr>
          <w:cantSplit/>
        </w:trPr>
        <w:tc>
          <w:tcPr/>
          <w:p>
            <w:pPr>
              <w:keepNext/>
              <w:pStyle w:val="Compact"/>
            </w:pPr>
            <w:r>
              <w:t xml:space="preserve">task degr.</w:t>
            </w:r>
          </w:p>
        </w:tc>
        <w:tc>
          <w:tcPr/>
          <w:p>
            <w:pPr>
              <w:keepNext/>
              <w:pStyle w:val="Compact"/>
            </w:pPr>
            <w:r>
              <w:t xml:space="preserve">30.3% [29.9%, 30.8%]</w:t>
            </w:r>
          </w:p>
        </w:tc>
        <w:tc>
          <w:tcPr/>
          <w:p>
            <w:pPr>
              <w:keepNext/>
              <w:pStyle w:val="Compact"/>
            </w:pPr>
            <w:r>
              <w:t xml:space="preserve">5.1% [4.8%, 5.4%]</w:t>
            </w:r>
          </w:p>
        </w:tc>
        <w:tc>
          <w:tcPr/>
          <w:p>
            <w:pPr>
              <w:keepNext/>
              <w:pStyle w:val="Compact"/>
            </w:pPr>
            <w:r>
              <w:t xml:space="preserve">14.7% [14.1%, 15.3%]</w:t>
            </w:r>
          </w:p>
        </w:tc>
      </w:tr>
      <w:tr>
        <w:trPr>
          <w:cantSplit/>
        </w:trPr>
        <w:tc>
          <w:tcPr/>
          <w:p>
            <w:pPr>
              <w:keepNext/>
              <w:pStyle w:val="Compact"/>
            </w:pPr>
            <w:r>
              <w:t xml:space="preserve">benefit B</w:t>
            </w:r>
          </w:p>
        </w:tc>
        <w:tc>
          <w:tcPr/>
          <w:p>
            <w:pPr>
              <w:keepNext/>
              <w:pStyle w:val="Compact"/>
            </w:pPr>
            <w:r>
              <w:t xml:space="preserve">+2.59 [+2.55, +2.63]</w:t>
            </w:r>
          </w:p>
        </w:tc>
        <w:tc>
          <w:tcPr/>
          <w:p>
            <w:pPr>
              <w:keepNext/>
              <w:pStyle w:val="Compact"/>
            </w:pPr>
            <w:r>
              <w:t xml:space="preserve">+1.17 [+1.14, +1.21]</w:t>
            </w:r>
          </w:p>
        </w:tc>
        <w:tc>
          <w:tcPr/>
          <w:p>
            <w:pPr>
              <w:keepNext/>
              <w:pStyle w:val="Compact"/>
            </w:pPr>
            <w:r>
              <w:t xml:space="preserve">+0.64 [+0.63, +0.65]</w:t>
            </w:r>
          </w:p>
        </w:tc>
      </w:tr>
      <w:tr>
        <w:trPr>
          <w:cantSplit/>
        </w:trPr>
        <w:tc>
          <w:tcPr/>
          <w:p>
            <w:pPr>
              <w:pStyle w:val="Compact"/>
            </w:pPr>
            <w:r>
              <w:t xml:space="preserve">green / amber / red</w:t>
            </w:r>
          </w:p>
        </w:tc>
        <w:tc>
          <w:tcPr/>
          <w:p>
            <w:pPr>
              <w:pStyle w:val="Compact"/>
            </w:pPr>
            <w:r>
              <w:t xml:space="preserve">70 / 55 / 5</w:t>
            </w:r>
          </w:p>
        </w:tc>
        <w:tc>
          <w:tcPr/>
          <w:p>
            <w:pPr>
              <w:pStyle w:val="Compact"/>
            </w:pPr>
            <w:r>
              <w:t xml:space="preserve">0 / 30 / 0</w:t>
            </w:r>
          </w:p>
        </w:tc>
        <w:tc>
          <w:tcPr/>
          <w:p>
            <w:pPr>
              <w:pStyle w:val="Compact"/>
            </w:pPr>
            <w:r>
              <w:t xml:space="preserve">0 / 0 / 390</w:t>
            </w:r>
          </w:p>
        </w:tc>
      </w:tr>
    </w:tbl>
    <w:bookmarkEnd w:id="20"/>
    <w:bookmarkEnd w:id="21"/>
    <w:bookmarkStart w:id="23" w:name="s6.-per-denoiser-endpoints"/>
    <w:p>
      <w:pPr>
        <w:pStyle w:val="Heading2"/>
      </w:pPr>
      <w:r>
        <w:t xml:space="preserve">S6. Per-denoiser endpoints</w:t>
      </w:r>
    </w:p>
    <w:bookmarkStart w:id="22" w:name="Xd3dcc1399afef85c0f50666f23f8d2dae3d104a"/>
    <w:p>
      <w:pPr>
        <w:pStyle w:val="Heading3"/>
      </w:pPr>
      <w:r>
        <w:t xml:space="preserve">S6.1 Divergence endpoints in full (Table S4)</w:t>
      </w:r>
    </w:p>
    <w:p>
      <w:pPr>
        <w:pStyle w:val="FirstParagraph"/>
      </w:pPr>
      <w:r>
        <w:t xml:space="preserve">Table S4 gives, for each denoiser, the Spearman correlation between ΔSSIM and Δ</w:t>
      </w:r>
      <w:r>
        <w:rPr>
          <w:rStyle w:val="VerbatimChar"/>
        </w:rPr>
        <w:t xml:space="preserve">d'</w:t>
      </w:r>
      <w:r>
        <w:t xml:space="preserve">(PW), the divergence rate, the mean ΔSSIM and Δ</w:t>
      </w:r>
      <w:r>
        <w:rPr>
          <w:rStyle w:val="VerbatimChar"/>
        </w:rPr>
        <w:t xml:space="preserve">d'</w:t>
      </w:r>
      <w:r>
        <w:t xml:space="preserve"> </w:t>
      </w:r>
      <w:r>
        <w:t xml:space="preserve">for all three observers, the observer-dependent benefit, and the Holm-adjusted p-values within each family.</w:t>
      </w:r>
    </w:p>
    <w:p>
      <w:pPr>
        <w:keepNext/>
        <w:pStyle w:val="BodyText"/>
      </w:pPr>
      <w:r>
        <w:rPr>
          <w:b/>
          <w:bCs/>
        </w:rPr>
        <w:t xml:space="preserve">Table S4.</w:t>
      </w:r>
      <w:r>
        <w:t xml:space="preserve"> </w:t>
      </w:r>
      <w:r>
        <w:t xml:space="preserve">Fidelity–task divergence per denoiser: the Spearman correlation between ΔSSIM and Δd′(PW), the fraction of divergent evaluations (ΔSSIM &gt; 0 with Δd′(PW) &lt; 0), and the mean changes, each as value [95% CI] from the clustered bootstrap. p-values are two-sided bootstrap values for the correlation, Holm-adjusted across denoisers. Columns are the denoisers.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val="on"/>
        </w:trPr>
        <w:tc>
          <w:tcPr/>
          <w:p>
            <w:pPr>
              <w:keepNext/>
              <w:pStyle w:val="Compact"/>
            </w:pPr>
            <w:r>
              <w:t xml:space="preserve">measure</w:t>
            </w:r>
          </w:p>
        </w:tc>
        <w:tc>
          <w:tcPr/>
          <w:p>
            <w:pPr>
              <w:keepNext/>
              <w:pStyle w:val="Compact"/>
            </w:pPr>
            <w:r>
              <w:t xml:space="preserve">gaussian(1.5 px)</w:t>
            </w:r>
          </w:p>
        </w:tc>
        <w:tc>
          <w:tcPr/>
          <w:p>
            <w:pPr>
              <w:keepNext/>
              <w:pStyle w:val="Compact"/>
            </w:pPr>
            <w:r>
              <w:t xml:space="preserve">TV(0.4 sd)</w:t>
            </w:r>
          </w:p>
        </w:tc>
        <w:tc>
          <w:tcPr/>
          <w:p>
            <w:pPr>
              <w:keepNext/>
              <w:pStyle w:val="Compact"/>
            </w:pPr>
            <w:r>
              <w:t xml:space="preserve">NLM(0.6 sd)</w:t>
            </w:r>
          </w:p>
        </w:tc>
        <w:tc>
          <w:tcPr/>
          <w:p>
            <w:pPr>
              <w:keepNext/>
              <w:pStyle w:val="Compact"/>
            </w:pPr>
            <w:r>
              <w:t xml:space="preserve">All</w:t>
            </w:r>
          </w:p>
        </w:tc>
      </w:tr>
      <w:tr>
        <w:trPr>
          <w:cantSplit/>
        </w:trPr>
        <w:tc>
          <w:tcPr/>
          <w:p>
            <w:pPr>
              <w:keepNext/>
              <w:pStyle w:val="Compact"/>
            </w:pPr>
            <w:r>
              <w:t xml:space="preserve">Spearman ρ</w:t>
            </w:r>
          </w:p>
        </w:tc>
        <w:tc>
          <w:tcPr/>
          <w:p>
            <w:pPr>
              <w:keepNext/>
              <w:pStyle w:val="Compact"/>
            </w:pPr>
            <w:r>
              <w:t xml:space="preserve">+0.10 [+0.01, +0.19]</w:t>
            </w:r>
          </w:p>
        </w:tc>
        <w:tc>
          <w:tcPr/>
          <w:p>
            <w:pPr>
              <w:keepNext/>
              <w:pStyle w:val="Compact"/>
            </w:pPr>
            <w:r>
              <w:t xml:space="preserve">−0.84 [−0.86, −0.82]</w:t>
            </w:r>
          </w:p>
        </w:tc>
        <w:tc>
          <w:tcPr/>
          <w:p>
            <w:pPr>
              <w:keepNext/>
              <w:pStyle w:val="Compact"/>
            </w:pPr>
            <w:r>
              <w:t xml:space="preserve">−0.85 [−0.86, −0.84]</w:t>
            </w:r>
          </w:p>
        </w:tc>
        <w:tc>
          <w:tcPr/>
          <w:p>
            <w:pPr>
              <w:keepNext/>
              <w:pStyle w:val="Compact"/>
            </w:pPr>
            <w:r>
              <w:t xml:space="preserve">−0.62 [−0.63, −0.60]</w:t>
            </w:r>
          </w:p>
        </w:tc>
      </w:tr>
      <w:tr>
        <w:trPr>
          <w:cantSplit/>
        </w:trPr>
        <w:tc>
          <w:tcPr/>
          <w:p>
            <w:pPr>
              <w:keepNext/>
              <w:pStyle w:val="Compact"/>
            </w:pPr>
            <w:r>
              <w:t xml:space="preserve">p (Holm)</w:t>
            </w:r>
          </w:p>
        </w:tc>
        <w:tc>
          <w:tcPr/>
          <w:p>
            <w:pPr>
              <w:keepNext/>
              <w:pStyle w:val="Compact"/>
            </w:pPr>
            <w:r>
              <w:t xml:space="preserve">0.023</w:t>
            </w:r>
          </w:p>
        </w:tc>
        <w:tc>
          <w:tcPr/>
          <w:p>
            <w:pPr>
              <w:keepNext/>
              <w:pStyle w:val="Compact"/>
            </w:pPr>
            <w:r>
              <w:t xml:space="preserve">0.001</w:t>
            </w:r>
          </w:p>
        </w:tc>
        <w:tc>
          <w:tcPr/>
          <w:p>
            <w:pPr>
              <w:keepNext/>
              <w:pStyle w:val="Compact"/>
            </w:pPr>
            <w:r>
              <w:t xml:space="preserve">0.001</w:t>
            </w:r>
          </w:p>
        </w:tc>
        <w:tc>
          <w:tcPr/>
          <w:p>
            <w:pPr>
              <w:keepNext/>
              <w:pStyle w:val="Compact"/>
            </w:pPr>
            <w:r>
              <w:t xml:space="preserve">—</w:t>
            </w:r>
          </w:p>
        </w:tc>
      </w:tr>
      <w:tr>
        <w:trPr>
          <w:cantSplit/>
        </w:trPr>
        <w:tc>
          <w:tcPr/>
          <w:p>
            <w:pPr>
              <w:keepNext/>
              <w:pStyle w:val="Compact"/>
            </w:pPr>
            <w:r>
              <w:t xml:space="preserve">divergent</w:t>
            </w:r>
          </w:p>
        </w:tc>
        <w:tc>
          <w:tcPr/>
          <w:p>
            <w:pPr>
              <w:keepNext/>
              <w:pStyle w:val="Compact"/>
            </w:pPr>
            <w:r>
              <w:t xml:space="preserve">100.0% [100.0%, 100.0%]</w:t>
            </w:r>
          </w:p>
        </w:tc>
        <w:tc>
          <w:tcPr/>
          <w:p>
            <w:pPr>
              <w:keepNext/>
              <w:pStyle w:val="Compact"/>
            </w:pPr>
            <w:r>
              <w:t xml:space="preserve">62.4% [57.1%, 67.1%]</w:t>
            </w:r>
          </w:p>
        </w:tc>
        <w:tc>
          <w:tcPr/>
          <w:p>
            <w:pPr>
              <w:keepNext/>
              <w:pStyle w:val="Compact"/>
            </w:pPr>
            <w:r>
              <w:t xml:space="preserve">99.4% [98.2%, 100.0%]</w:t>
            </w:r>
          </w:p>
        </w:tc>
        <w:tc>
          <w:tcPr/>
          <w:p>
            <w:pPr>
              <w:keepNext/>
              <w:pStyle w:val="Compact"/>
            </w:pPr>
            <w:r>
              <w:t xml:space="preserve">88.2% [86.7%, 89.6%]</w:t>
            </w:r>
          </w:p>
        </w:tc>
      </w:tr>
      <w:tr>
        <w:trPr>
          <w:cantSplit/>
        </w:trPr>
        <w:tc>
          <w:tcPr/>
          <w:p>
            <w:pPr>
              <w:keepNext/>
              <w:pStyle w:val="Compact"/>
            </w:pPr>
            <w:r>
              <w:t xml:space="preserve">mean ΔSSIM</w:t>
            </w:r>
          </w:p>
        </w:tc>
        <w:tc>
          <w:tcPr/>
          <w:p>
            <w:pPr>
              <w:keepNext/>
              <w:pStyle w:val="Compact"/>
            </w:pPr>
            <w:r>
              <w:t xml:space="preserve">+0.304 [+0.304, +0.304]</w:t>
            </w:r>
          </w:p>
        </w:tc>
        <w:tc>
          <w:tcPr/>
          <w:p>
            <w:pPr>
              <w:keepNext/>
              <w:pStyle w:val="Compact"/>
            </w:pPr>
            <w:r>
              <w:t xml:space="preserve">+0.140 [+0.140, +0.140]</w:t>
            </w:r>
          </w:p>
        </w:tc>
        <w:tc>
          <w:tcPr/>
          <w:p>
            <w:pPr>
              <w:keepNext/>
              <w:pStyle w:val="Compact"/>
            </w:pPr>
            <w:r>
              <w:t xml:space="preserve">+0.302 [+0.302, +0.302]</w:t>
            </w:r>
          </w:p>
        </w:tc>
        <w:tc>
          <w:tcPr/>
          <w:p>
            <w:pPr>
              <w:keepNext/>
              <w:pStyle w:val="Compact"/>
            </w:pPr>
            <w:r>
              <w:t xml:space="preserve">+0.252 [+0.252, +0.253]</w:t>
            </w:r>
          </w:p>
        </w:tc>
      </w:tr>
      <w:tr>
        <w:trPr>
          <w:cantSplit/>
        </w:trPr>
        <w:tc>
          <w:tcPr/>
          <w:p>
            <w:pPr>
              <w:pStyle w:val="Compact"/>
            </w:pPr>
            <w:r>
              <w:t xml:space="preserve">mean Δd′ PW</w:t>
            </w:r>
          </w:p>
        </w:tc>
        <w:tc>
          <w:tcPr/>
          <w:p>
            <w:pPr>
              <w:pStyle w:val="Compact"/>
            </w:pPr>
            <w:r>
              <w:t xml:space="preserve">−0.91 [−0.94, −0.88]</w:t>
            </w:r>
          </w:p>
        </w:tc>
        <w:tc>
          <w:tcPr/>
          <w:p>
            <w:pPr>
              <w:pStyle w:val="Compact"/>
            </w:pPr>
            <w:r>
              <w:t xml:space="preserve">−0.51 [−0.52, −0.50]</w:t>
            </w:r>
          </w:p>
        </w:tc>
        <w:tc>
          <w:tcPr/>
          <w:p>
            <w:pPr>
              <w:pStyle w:val="Compact"/>
            </w:pPr>
            <w:r>
              <w:t xml:space="preserve">−1.06 [−1.07, −1.04]</w:t>
            </w:r>
          </w:p>
        </w:tc>
        <w:tc>
          <w:tcPr/>
          <w:p>
            <w:pPr>
              <w:pStyle w:val="Compact"/>
            </w:pPr>
            <w:r>
              <w:t xml:space="preserve">−0.83 [−0.85, −0.82]</w:t>
            </w:r>
          </w:p>
        </w:tc>
      </w:tr>
    </w:tbl>
    <w:bookmarkEnd w:id="22"/>
    <w:bookmarkEnd w:id="23"/>
    <w:bookmarkStart w:id="24" w:name="Xb674062344dc2eb40c6ef6489cc695f0a71c335"/>
    <w:p>
      <w:pPr>
        <w:pStyle w:val="Heading2"/>
      </w:pPr>
      <w:r>
        <w:t xml:space="preserve">S7. The four networks of the real low-dose CT arm</w:t>
      </w:r>
    </w:p>
    <w:p>
      <w:pPr>
        <w:pStyle w:val="FirstParagraph"/>
      </w:pPr>
      <w:r>
        <w:t xml:space="preserve">These are the networks of Sections 3.6 and 3.6.1, and are distinct from the demonstration network of Section S4.</w:t>
      </w:r>
    </w:p>
    <w:p>
      <w:pPr>
        <w:pStyle w:val="BodyText"/>
      </w:pPr>
      <w:r>
        <w:t xml:space="preserve">Two capacities, and at each capacity two objectives. The small configuration is 21385 parameters trained on 800 patches per case for 16 epochs at batch 32; the large is 1849633 parameters on 3000 patches per case for 60 epochs at batch 64, a ratio of 86× in parameters. Capacity, training data and training length move together between the two, so they do not isolate capacity.</w:t>
      </w:r>
    </w:p>
    <w:p>
      <w:pPr>
        <w:pStyle w:val="BodyText"/>
      </w:pPr>
      <w:r>
        <w:t xml:space="preserve">Within a capacity they do isolate the objective. The adversarial network is built from the same seed with the same architecture and trained on the same patches, for the same epochs, at the same batch size and learning rate; only the loss differs, by the least-squares adversarial term of Mao et al. [24] against a small patch critic. Its weights —</w:t>
      </w:r>
      <w:r>
        <w:t xml:space="preserve"> </w:t>
      </w:r>
      <w:r>
        <w:rPr>
          <w:rStyle w:val="VerbatimChar"/>
        </w:rPr>
        <w:t xml:space="preserve">mse_weight</w:t>
      </w:r>
      <w:r>
        <w:t xml:space="preserve"> </w:t>
      </w:r>
      <w:r>
        <w:t xml:space="preserve">= 0.05,</w:t>
      </w:r>
      <w:r>
        <w:t xml:space="preserve"> </w:t>
      </w:r>
      <w:r>
        <w:rPr>
          <w:rStyle w:val="VerbatimChar"/>
        </w:rPr>
        <w:t xml:space="preserve">adv_weight</w:t>
      </w:r>
      <w:r>
        <w:t xml:space="preserve"> </w:t>
      </w:r>
      <w:r>
        <w:t xml:space="preserve">= 1.0, critic learning rate 1e-03 — were fixed by a sweep recorded in</w:t>
      </w:r>
      <w:r>
        <w:t xml:space="preserve"> </w:t>
      </w:r>
      <w:r>
        <w:rPr>
          <w:rStyle w:val="VerbatimChar"/>
        </w:rPr>
        <w:t xml:space="preserve">results/adv_weight_sweep.json</w:t>
      </w:r>
      <w:r>
        <w:t xml:space="preserve"> </w:t>
      </w:r>
      <w:r>
        <w:t xml:space="preserve">before this arm was run. A first sweep at the fidelity arm’s pixelwise weight found the adversarial term doing almost nothing across a five-hundred-fold range of weights, because the pixelwise term is in units of the input’s own noise while the least-squares term is bounded when the critic is confused; the weights above are where the term bites, and the effect is flat over more than an order of magnitude around them, so the arm does not sit on a knife edge.</w:t>
      </w:r>
    </w:p>
    <w:p>
      <w:pPr>
        <w:pStyle w:val="BodyText"/>
      </w:pPr>
      <w:r>
        <w:t xml:space="preserve">The checkpoint kept for each run is its last epoch rather than its lowest-validation one. The best validation loss reached was 5.642 for the small fidelity arm and 5.000 for the large one; for the adversarial arms the full per-epoch history of the generator loss, the critic loss and the validation mean-squared error is recorded in</w:t>
      </w:r>
      <w:r>
        <w:t xml:space="preserve"> </w:t>
      </w:r>
      <w:r>
        <w:rPr>
          <w:rStyle w:val="VerbatimChar"/>
        </w:rPr>
        <w:t xml:space="preserve">paper/results/liver_cnn_small_gan.json</w:t>
      </w:r>
      <w:r>
        <w:t xml:space="preserve"> </w:t>
      </w:r>
      <w:r>
        <w:t xml:space="preserve">and</w:t>
      </w:r>
      <w:r>
        <w:t xml:space="preserve"> </w:t>
      </w:r>
      <w:r>
        <w:rPr>
          <w:rStyle w:val="VerbatimChar"/>
        </w:rPr>
        <w:t xml:space="preserve">paper/results/liver_cnn_large_gan.json</w:t>
      </w:r>
      <w:r>
        <w:t xml:space="preserve">. Every checkpoint’s SHA-256 is in the same files.</w:t>
      </w:r>
    </w:p>
    <w:bookmarkEnd w:id="24"/>
    <w:bookmarkStart w:id="25" w:name="X5a97f50a690e77a7546992bff9d1b49091bc36e"/>
    <w:p>
      <w:pPr>
        <w:pStyle w:val="Heading2"/>
      </w:pPr>
      <w:r>
        <w:t xml:space="preserve">S8. The ceiling comparison: margin, saturation, and the one exceedance</w:t>
      </w:r>
    </w:p>
    <w:p>
      <w:pPr>
        <w:pStyle w:val="FirstParagraph"/>
      </w:pPr>
      <w:r>
        <w:t xml:space="preserve">The comparison of Section 3.4 is made against a margin rather than against the ceiling itself, because an estimated AUC has sampling error and a bound compared without one would be violated by noise alone. The armwise margin is the Hanley–McNeil standard error of the estimated AUC scaled by</w:t>
      </w:r>
      <w:r>
        <w:t xml:space="preserve"> </w:t>
      </w:r>
      <w:r>
        <w:rPr>
          <w:rStyle w:val="VerbatimChar"/>
        </w:rPr>
        <w:t xml:space="preserve">z</w:t>
      </w:r>
      <w:r>
        <w:t xml:space="preserve">; the family-wise statement widens it by Bonferroni over all 760 comparisons, giving</w:t>
      </w:r>
      <w:r>
        <w:t xml:space="preserve"> </w:t>
      </w:r>
      <w:r>
        <w:rPr>
          <w:rStyle w:val="VerbatimChar"/>
        </w:rPr>
        <w:t xml:space="preserve">z</w:t>
      </w:r>
      <w:r>
        <w:t xml:space="preserve"> </w:t>
      </w:r>
      <w:r>
        <w:t xml:space="preserve">= 3.99 at a family-wise level of</w:t>
      </w:r>
      <w:r>
        <w:t xml:space="preserve"> </w:t>
      </w:r>
      <w:r>
        <w:rPr>
          <w:rStyle w:val="VerbatimChar"/>
        </w:rPr>
        <w:t xml:space="preserve">0.05</w:t>
      </w:r>
      <w:r>
        <w:t xml:space="preserve">. At the largest excess observed the margin was 7.00×10⁻⁴ in AUC.</w:t>
      </w:r>
    </w:p>
    <w:p>
      <w:pPr>
        <w:pStyle w:val="BodyText"/>
      </w:pPr>
      <w:r>
        <w:t xml:space="preserve">An evaluation is treated as saturated when its analytic ceiling AUC exceeds</w:t>
      </w:r>
      <w:r>
        <w:t xml:space="preserve"> </w:t>
      </w:r>
      <w:r>
        <w:rPr>
          <w:rStyle w:val="VerbatimChar"/>
        </w:rPr>
        <w:t xml:space="preserve">1 − 10/(n_present · n_absent)</w:t>
      </w:r>
      <w:r>
        <w:t xml:space="preserve">, which is the regime in which the closed-form interval degenerates: at perfect separation the Hanley–McNeil standard error is identically zero, the margin collapses to a single quantization step, and no widening of</w:t>
      </w:r>
      <w:r>
        <w:t xml:space="preserve"> </w:t>
      </w:r>
      <w:r>
        <w:rPr>
          <w:rStyle w:val="VerbatimChar"/>
        </w:rPr>
        <w:t xml:space="preserve">z</w:t>
      </w:r>
      <w:r>
        <w:t xml:space="preserve"> </w:t>
      </w:r>
      <w:r>
        <w:t xml:space="preserve">recovers it. 180 of 760 evaluations met that rule and are analyzed separately for this reason and not because excluding them helps: over the remaining 580 the largest excess was 1.64×10⁻⁴ and the mean -0.040.</w:t>
      </w:r>
    </w:p>
    <w:p>
      <w:pPr>
        <w:pStyle w:val="BodyText"/>
      </w:pPr>
      <w:r>
        <w:t xml:space="preserve">The single exceedance occurred on an</w:t>
      </w:r>
      <w:r>
        <w:t xml:space="preserve"> </w:t>
      </w:r>
      <w:r>
        <w:rPr>
          <w:i/>
          <w:iCs/>
        </w:rPr>
        <w:t xml:space="preserve">unprocessed</w:t>
      </w:r>
      <w:r>
        <w:t xml:space="preserve"> </w:t>
      </w:r>
      <w:r>
        <w:t xml:space="preserve">arm, where the processing is the identity and cannot create information, so what it measures is the estimator and the finite sample rather than a violated bound. Its analytic ceiling AUC is 0.9999933, the estimator achieved 1.0000000, and the excess is 6.75×10⁻⁶ in AUC against a margin of 6.94×10⁻⁷ — of the order of ten misordered pairs in</w:t>
      </w:r>
      <w:r>
        <w:t xml:space="preserve"> </w:t>
      </w:r>
      <w:r>
        <w:rPr>
          <w:rStyle w:val="VerbatimChar"/>
        </w:rPr>
        <w:t xml:space="preserve">1.44</w:t>
      </w:r>
      <w:r>
        <w:t xml:space="preserve"> </w:t>
      </w:r>
      <w:r>
        <w:t xml:space="preserve">million. The family-wise margin leaves this same 1 exceedance, for exactly that reason. Across the processed arms, which are the ones the claim is about, 0 of 550 exceeded the margin.</w:t>
      </w:r>
    </w:p>
    <w:bookmarkEnd w:id="25"/>
    <w:bookmarkEnd w:id="26"/>
    <w:sectPr>
      <w:footerReference w:type="default" r:id="rIdPage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Id="rIdPageFooter"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2026-10-24T14:38:37Z</dcterms:created>
  <dcterms:modified xsi:type="dcterms:W3CDTF">2026-10-24T14:38:37Z</dcterms:modified>
</cp:coreProperties>
</file>

<file path=docProps/custom.xml><?xml version="1.0" encoding="utf-8"?>
<Properties xmlns="http://schemas.openxmlformats.org/officeDocument/2006/custom-properties" xmlns:vt="http://schemas.openxmlformats.org/officeDocument/2006/docPropsVTypes"/>
</file>