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b/>
          <w:bCs/>
        </w:rPr>
        <w:t xml:space="preserve">Mathematical characterization of task detectability limits in AI-denoised CT: implications for task-based dose optimization</w:t>
      </w:r>
      <w:r>
        <w:t xml:space="preserve"> </w:t>
      </w:r>
      <w:r>
        <w:t xml:space="preserve">Shuji Yamamoto · Institute of One, LISIT Co., Ltd., Tokyo 150-0044, Japan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normalized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single-realization analysis, at matched conditions of the dose sweep in the representative realization.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100 %</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realization (seed 20260101): the 5-fold cross-fitted estimator used throughout against the single 50/50 split used in the earlier single-realization analysis. Recovery is the estimated d′ as a fraction of the analytic ceiling of the same input. Recovery slightly above 100 %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normalized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quantization step, and no widening of</w:t>
      </w:r>
      <w:r>
        <w:t xml:space="preserve"> </w:t>
      </w:r>
      <w:r>
        <w:rPr>
          <w:rStyle w:val="VerbatimChar"/>
        </w:rPr>
        <w:t xml:space="preserve">z</w:t>
      </w:r>
      <w:r>
        <w:t xml:space="preserve"> </w:t>
      </w:r>
      <w:r>
        <w:t xml:space="preserve">recovers it. 180 of 760 evaluations met that rule and are analysed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b/>
          <w:b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2026-10-03T11:56:02Z</dcterms:created>
  <dcterms:modified xsi:type="dcterms:W3CDTF">2026-10-03T11:56:02Z</dcterms:modified>
</cp:coreProperties>
</file>

<file path=docProps/custom.xml><?xml version="1.0" encoding="utf-8"?>
<Properties xmlns="http://schemas.openxmlformats.org/officeDocument/2006/custom-properties" xmlns:vt="http://schemas.openxmlformats.org/officeDocument/2006/docPropsVTypes"/>
</file>