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Editors,</w:t>
      </w:r>
    </w:p>
    <w:p>
      <w:r>
        <w:t>I am submitting the enclosed manuscript, "How much of a heartbeat a non-gated CT records: a header-computable sampling bound, and what a learned estimator does beyond it", for consideration as a Paper in Physics in Medicine and Biology.</w:t>
      </w:r>
    </w:p>
    <w:p>
      <w:r>
        <w:t>I contacted the editorial office before this submission to ask whether the work was suited to a Paper rather than a Note. A Board member kindly reviewed the enquiry and confirmed that it could be submitted as a Paper, and the office asked that I mention the prior contact here.</w:t>
      </w:r>
    </w:p>
    <w:p>
      <w:r>
        <w:t>The Board member also raised a substantive concern, which I have addressed as far as the available data allow, and I would like to be explicit about what I was and was not able to do. The concern was that the recovery criterion had been derived and tested on simulated motion and then applied to real acquisition parameters, without ever testing recovery from the corresponding images, and that the low recovery rate in the image cohort could therefore not be attributed to the acquisition, the extraction method or genuine cardiac variation.</w:t>
      </w:r>
    </w:p>
    <w:p>
      <w:r>
        <w:t>I do not have access to a CT scanner or a motion phantom, so the phantom study the Board member suggested is not part of this work, and section 8 says so plainly. Instead I searched every collection of The Cancer Imaging Archive for a session that records a heart rate alongside a free-running helical chest series. Exactly one exists. Running the unmodified, previously frozen pipeline on it, under an acceptance interval fixed in the public repository before the images were downloaded, returned a rate ten per cent away from the recorded one on a scan that wrote half again the required number of cycles.</w:t>
      </w:r>
    </w:p>
    <w:p>
      <w:r>
        <w:t>Diagnosing that case changed the paper. The objective the fit minimises is nearly flat, the recorded period is not a local minimum of it, and across the cohort the three series the frozen criterion admitted have minima no deeper than those it rejected, with their coronal levels individually preferring rates spanning some fifty beats per minute. The admissions are therefore not recoveries; they are a flat objective being read as stability. This is reported as a new section 5.3, and the case with a known rate as section 5.4. Both are post-hoc, both were added in response to the Board member's comment, and both are declared as such in the manuscript.</w:t>
      </w:r>
    </w:p>
    <w:p>
      <w:r>
        <w:t>The cohort result reported in section 5.1 is unchanged and remains the one produced by the criterion frozen before the data were fitted.</w:t>
      </w:r>
    </w:p>
    <w:p>
      <w:r>
        <w:t>All analysis code, the frozen decision rules and every result file behind the figures and numbers are public at https://github.com/Institute-of-One/non-ecg-core, at the tagged release this manuscript accompanies. An archived copy with a DOI is being deposited and I will provide the identifier at revision. No imaging data is redistributed; the analysis retrieves it from the archive by series identifier.</w:t>
      </w:r>
    </w:p>
    <w:p>
      <w:r>
        <w:t>The manuscript has not been published elsewhere and is not under consideration by another journal. I am the sole author. I confirm that the work includes author-identifying information and that I accept it will therefore be handled as a single-anonymous submission.</w:t>
      </w:r>
    </w:p>
    <w:p>
      <w:r>
        <w:t>Thank you for considering it.</w:t>
      </w:r>
    </w:p>
    <w:p>
      <w:r>
        <w:t>Yours sincerely,</w:t>
      </w:r>
    </w:p>
    <w:p>
      <w:pPr>
        <w:spacing w:after="0"/>
      </w:pPr>
      <w:r>
        <w:t>Shuji Yamamoto</w:t>
      </w:r>
      <w:r>
        <w:br/>
      </w:r>
      <w:r>
        <w:t>Institute of One, LISIT Co., Ltd., Tokyo 150-0044, Japan</w:t>
      </w:r>
      <w:r>
        <w:br/>
      </w:r>
      <w:r>
        <w:t>ORCID 0000-0001-9211-1071</w:t>
      </w:r>
      <w:r>
        <w:br/>
      </w:r>
      <w:r>
        <w:t>yamamoto@lisit.jp</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20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