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spacing w:after="200"/>
      </w:pPr>
      <w:r>
        <w:rPr>
          <w:b w:val="on"/>
          <w:rFonts w:ascii="Calibri" w:hAnsi="Calibri" w:cs="Calibri" w:eastAsia="Calibri"/>
          <w:sz w:val="32"/>
        </w:rPr>
        <w:t>Ethics declaration</w:t>
      </w:r>
    </w:p>
    <w:p/>
    <w:p>
      <w:pPr>
        <w:pStyle w:val="Heading2"/>
        <w:spacing w:after="200"/>
      </w:pPr>
      <w:r>
        <w:rPr>
          <w:b w:val="on"/>
          <w:rFonts w:ascii="Calibri" w:hAnsi="Calibri" w:cs="Calibri" w:eastAsia="Calibri"/>
          <w:sz w:val="28"/>
        </w:rPr>
        <w:t>Informed consent and patient details</w:t>
      </w:r>
    </w:p>
    <w:p>
      <w:pPr>
        <w:spacing w:after="100"/>
      </w:pPr>
      <w:r>
        <w:rPr>
          <w:sz w:val="22"/>
        </w:rPr>
        <w:t>The authors have NOT obtained informed consent from participants or their legal representatives. No consent was obtained by the authors because no participants took part in this
study. It is a secondary analysis of a publicly available, fully de-identified
imaging collection (HCC-TACE-Seg, The Cancer Imaging Archive, DOI
10.7937/TCIA.5FNA-0924, CC BY 4.0). Consent arrangements for the original
collection are held by the contributing institution. No individual can be
identified from the data used or from anything reported here.</w:t>
      </w:r>
    </w:p>
    <w:p/>
    <w:p>
      <w:pPr>
        <w:pStyle w:val="Heading2"/>
        <w:spacing w:after="200"/>
      </w:pPr>
      <w:r>
        <w:rPr>
          <w:b w:val="on"/>
          <w:rFonts w:ascii="Calibri" w:hAnsi="Calibri" w:cs="Calibri" w:eastAsia="Calibri"/>
          <w:sz w:val="28"/>
        </w:rPr>
        <w:t>Studies in Human</w:t>
      </w:r>
    </w:p>
    <w:p>
      <w:pPr>
        <w:spacing w:after="100"/>
      </w:pPr>
      <w:r>
        <w:rPr>
          <w:sz w:val="22"/>
        </w:rPr>
        <w:t>This study was performed in compliance with relevant laws, regulatory frameworks and guidelines where the research took place.</w:t>
      </w:r>
    </w:p>
    <w:p>
      <w:pPr>
        <w:spacing w:after="100"/>
      </w:pPr>
      <w:r>
        <w:rPr>
          <w:sz w:val="22"/>
        </w:rPr>
        <w:t>This study was conducted in accordance with Declaration of Helsinki; Ethical Guidelines for Medical and Biological Research Involving Human Subjects (Japan, MEXT/MHLW/METI); The Cancer Imaging Archive data use policy (CC BY 4.0).</w:t>
      </w:r>
    </w:p>
    <w:p>
      <w:pPr>
        <w:spacing w:after="100"/>
      </w:pPr>
      <w:r>
        <w:rPr>
          <w:sz w:val="22"/>
        </w:rPr>
        <w:t>Ethics committee approval was not required under relevant laws and institutional guidelines. This study did not require review by an ethics committee. It recruited no
participants and collected no data. Its only human-derived material is a
publicly available, fully de-identified imaging collection used as secondary
data: HCC-TACE-Seg, The Cancer Imaging Archive, DOI 10.7937/TCIA.5FNA-0924,
released under CC BY 4.0. Research using only anonymised information from which
individuals cannot be identified falls outside the scope requiring institutional
review under the applicable national guidelines. Institutional approval and
participant consent for the original collection are held by the contributing
institution, and no additional approval was sought or required for this
secondary use.</w:t>
      </w:r>
    </w:p>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Heading1" w:type="paragraph">
    <w:name w:val="heading 1"/>
    <w:basedOn w:val="Normal"/>
    <w:next w:val="Normal"/>
    <w:qFormat/>
    <w:pPr>
      <w:outlineLvl w:val="0"/>
    </w:pPr>
  </w:style>
  <w:style w:styleId="Heading2" w:type="paragraph">
    <w:name w:val="heading 2"/>
    <w:basedOn w:val="Normal"/>
    <w:next w:val="Normal"/>
    <w:qFormat/>
    <w:pPr>
      <w:outlineLvl w:val="1"/>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2026-08-21T00:33:11Z</dcterms:created>
  <dc:creator>Apache POI</dc:creator>
</cp:coreProperties>
</file>