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sponse-to-reviewer-1-jimaging-4539482"/>
    <w:p>
      <w:pPr>
        <w:pStyle w:val="Heading1"/>
      </w:pPr>
      <w:r>
        <w:t xml:space="preserve">Response to Reviewer 1 — jimaging-4539482</w:t>
      </w:r>
    </w:p>
    <w:p>
      <w:pPr>
        <w:pStyle w:val="FirstParagraph"/>
      </w:pPr>
      <w:r>
        <w:rPr>
          <w:b/>
          <w:bCs/>
        </w:rPr>
        <w:t xml:space="preserve">Error Injection in Task-Based Image Quality Pipelines: What Regression Testing Cannot</w:t>
      </w:r>
      <w:r>
        <w:rPr>
          <w:b/>
          <w:bCs/>
        </w:rPr>
        <w:t xml:space="preserve"> </w:t>
      </w:r>
      <w:r>
        <w:rPr>
          <w:b/>
          <w:bCs/>
        </w:rPr>
        <w:t xml:space="preserve">Catch, and Why Neither Internal Identities nor Closed-Form References Suffice Alone</w:t>
      </w:r>
    </w:p>
    <w:p>
      <w:pPr>
        <w:pStyle w:val="BodyText"/>
      </w:pPr>
      <w:r>
        <w:t xml:space="preserve">Shuji Yamamoto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Thank you for the careful reading. Every point you raised is addressed below, in order,</w:t>
      </w:r>
      <w:r>
        <w:t xml:space="preserve"> </w:t>
      </w:r>
      <w:r>
        <w:t xml:space="preserve">with the change made and where to find it. All changes are highlighted in the revised</w:t>
      </w:r>
      <w:r>
        <w:t xml:space="preserve"> </w:t>
      </w:r>
      <w:r>
        <w:t xml:space="preserve">manuscript.</w:t>
      </w:r>
    </w:p>
    <w:p>
      <w:pPr>
        <w:pStyle w:val="BodyText"/>
      </w:pPr>
      <w:r>
        <w:rPr>
          <w:b/>
          <w:bCs/>
        </w:rPr>
        <w:t xml:space="preserve">1. The Introduction would benefit from briefly positioning the proposed identities</w:t>
      </w:r>
      <w:r>
        <w:rPr>
          <w:b/>
          <w:bCs/>
        </w:rPr>
        <w:t xml:space="preserve"> </w:t>
      </w:r>
      <w:r>
        <w:rPr>
          <w:b/>
          <w:bCs/>
        </w:rPr>
        <w:t xml:space="preserve">relative to property-based testing, metamorphic testing, and verification practices for</w:t>
      </w:r>
      <w:r>
        <w:rPr>
          <w:b/>
          <w:bCs/>
        </w:rPr>
        <w:t xml:space="preserve"> </w:t>
      </w:r>
      <w:r>
        <w:rPr>
          <w:b/>
          <w:bCs/>
        </w:rPr>
        <w:t xml:space="preserve">scientific software.</w:t>
      </w:r>
    </w:p>
    <w:p>
      <w:pPr>
        <w:pStyle w:val="BodyText"/>
      </w:pPr>
      <w:r>
        <w:t xml:space="preserve">Agreed, and this was a real gap: the paper proposed checks whose reference comes from</w:t>
      </w:r>
      <w:r>
        <w:t xml:space="preserve"> </w:t>
      </w:r>
      <w:r>
        <w:t xml:space="preserve">outside the code without saying that this is a named idea with a literature behind it.</w:t>
      </w:r>
    </w:p>
    <w:p>
      <w:pPr>
        <w:pStyle w:val="BodyText"/>
      </w:pPr>
      <w:r>
        <w:t xml:space="preserve">A paragraph has been added at the end of Section 1.2 naming both correspondences</w:t>
      </w:r>
      <w:r>
        <w:t xml:space="preserve"> </w:t>
      </w:r>
      <w:r>
        <w:t xml:space="preserve">explicitly. The internal identities are properties in the sense of property-based testing</w:t>
      </w:r>
      <w:r>
        <w:t xml:space="preserve"> </w:t>
      </w:r>
      <w:r>
        <w:t xml:space="preserve">[18], with the algebra of the imaging chain supplying the property rather than a</w:t>
      </w:r>
      <w:r>
        <w:t xml:space="preserve"> </w:t>
      </w:r>
      <w:r>
        <w:t xml:space="preserve">programmer’s intuition; the checks comparing two routes to the same quantity are</w:t>
      </w:r>
      <w:r>
        <w:t xml:space="preserve"> </w:t>
      </w:r>
      <w:r>
        <w:t xml:space="preserve">metamorphic relations [19], the standard answer to the oracle problem, which is exactly</w:t>
      </w:r>
      <w:r>
        <w:t xml:space="preserve"> </w:t>
      </w:r>
      <w:r>
        <w:t xml:space="preserve">this paper’s situation. Verification practice for computational science is cited from the</w:t>
      </w:r>
      <w:r>
        <w:t xml:space="preserve"> </w:t>
      </w:r>
      <w:r>
        <w:t xml:space="preserve">scientific side [20]. The paragraph ends by saying what the paper adds that is not</w:t>
      </w:r>
      <w:r>
        <w:t xml:space="preserve"> </w:t>
      </w:r>
      <w:r>
        <w:t xml:space="preserve">borrowed: which relations exist for this particular chain, what each detects, what it</w:t>
      </w:r>
      <w:r>
        <w:t xml:space="preserve"> </w:t>
      </w:r>
      <w:r>
        <w:t xml:space="preserve">costs, and the finding that the two families are not interchangeable.</w:t>
      </w:r>
    </w:p>
    <w:p>
      <w:pPr>
        <w:pStyle w:val="BodyText"/>
      </w:pPr>
      <w:r>
        <w:rPr>
          <w:b/>
          <w:bCs/>
        </w:rPr>
        <w:t xml:space="preserve">2. Figure 4 is information-dense, and some labels and plotted series are difficult to</w:t>
      </w:r>
      <w:r>
        <w:rPr>
          <w:b/>
          <w:bCs/>
        </w:rPr>
        <w:t xml:space="preserve"> </w:t>
      </w:r>
      <w:r>
        <w:rPr>
          <w:b/>
          <w:bCs/>
        </w:rPr>
        <w:t xml:space="preserve">distinguish at normal page size. Please enlarge the labels and legend and consider adding</w:t>
      </w:r>
      <w:r>
        <w:rPr>
          <w:b/>
          <w:bCs/>
        </w:rPr>
        <w:t xml:space="preserve"> </w:t>
      </w:r>
      <w:r>
        <w:rPr>
          <w:b/>
          <w:bCs/>
        </w:rPr>
        <w:t xml:space="preserve">panel labels to Figures 4 and 5. Please also explain the boldface used in Table 2.</w:t>
      </w:r>
    </w:p>
    <w:p>
      <w:pPr>
        <w:pStyle w:val="BodyText"/>
      </w:pPr>
      <w:r>
        <w:t xml:space="preserve">Figure 4 has been regenerated: type enlarged throughout, 600 dpi instead of 300, and panel</w:t>
      </w:r>
      <w:r>
        <w:t xml:space="preserve"> </w:t>
      </w:r>
      <w:r>
        <w:t xml:space="preserve">labels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added. The cause was not only the base font size — every</w:t>
      </w:r>
      <w:r>
        <w:t xml:space="preserve"> </w:t>
      </w:r>
      <w:r>
        <w:t xml:space="preserve">per-call font size in the plotting code was overriding it, which is why the figure stayed</w:t>
      </w:r>
      <w:r>
        <w:t xml:space="preserve"> </w:t>
      </w:r>
      <w:r>
        <w:t xml:space="preserve">small.</w:t>
      </w:r>
    </w:p>
    <w:p>
      <w:pPr>
        <w:pStyle w:val="BodyText"/>
      </w:pPr>
      <w:r>
        <w:t xml:space="preserve">Regenerating it showed a second problem your comment covers but does not name, and I have</w:t>
      </w:r>
      <w:r>
        <w:t xml:space="preserve"> </w:t>
      </w:r>
      <w:r>
        <w:t xml:space="preserve">fixed that too. Every detection in panel (a) falls between 0.1 and 0.2 on a colour scale</w:t>
      </w:r>
      <w:r>
        <w:t xml:space="preserve"> </w:t>
      </w:r>
      <w:r>
        <w:t xml:space="preserve">running 0 to 1, so colour separated almost nothing.</w:t>
      </w:r>
      <w:r>
        <w:t xml:space="preserve"> </w:t>
      </w:r>
      <w:r>
        <w:rPr>
          <w:b/>
          <w:bCs/>
        </w:rPr>
        <w:t xml:space="preserve">Each cell now prints its severity</w:t>
      </w:r>
      <w:r>
        <w:t xml:space="preserve"> </w:t>
      </w:r>
      <w:r>
        <w:t xml:space="preserve">and the colour scale spans the data. The panel is exact rather than approximate, and it</w:t>
      </w:r>
      <w:r>
        <w:t xml:space="preserve"> </w:t>
      </w:r>
      <w:r>
        <w:t xml:space="preserve">happens to answer your point 4 visually as well.</w:t>
      </w:r>
    </w:p>
    <w:p>
      <w:pPr>
        <w:pStyle w:val="BodyText"/>
      </w:pPr>
      <w:r>
        <w:t xml:space="preserve">Figure 5 now carries panel labels. The boldface in Table 2 marks the single largest value</w:t>
      </w:r>
      <w:r>
        <w:t xml:space="preserve"> </w:t>
      </w:r>
      <w:r>
        <w:t xml:space="preserve">in its column, and the caption now says so.</w:t>
      </w:r>
    </w:p>
    <w:p>
      <w:pPr>
        <w:pStyle w:val="BodyText"/>
      </w:pPr>
      <w:r>
        <w:rPr>
          <w:b/>
          <w:bCs/>
        </w:rPr>
        <w:t xml:space="preserve">3. The checklist in Section 4.2 describes six checks but is numbered as seven items</w:t>
      </w:r>
      <w:r>
        <w:rPr>
          <w:b/>
          <w:bCs/>
        </w:rPr>
        <w:t xml:space="preserve"> </w:t>
      </w:r>
      <w:r>
        <w:rPr>
          <w:b/>
          <w:bCs/>
        </w:rPr>
        <w:t xml:space="preserve">because the two closed-form checks are introduced through an additional numbered item.</w:t>
      </w:r>
      <w:r>
        <w:rPr>
          <w:b/>
          <w:bCs/>
        </w:rPr>
        <w:t xml:space="preserve"> </w:t>
      </w:r>
      <w:r>
        <w:rPr>
          <w:b/>
          <w:bCs/>
        </w:rPr>
        <w:t xml:space="preserve">Please reorganize the numbering so that the four identities and two closed-form references</w:t>
      </w:r>
      <w:r>
        <w:rPr>
          <w:b/>
          <w:bCs/>
        </w:rPr>
        <w:t xml:space="preserve"> </w:t>
      </w:r>
      <w:r>
        <w:rPr>
          <w:b/>
          <w:bCs/>
        </w:rPr>
        <w:t xml:space="preserve">are unambiguous.</w:t>
      </w:r>
    </w:p>
    <w:p>
      <w:pPr>
        <w:pStyle w:val="BodyText"/>
      </w:pPr>
      <w:r>
        <w:t xml:space="preserve">You are right, and I found the mechanism: in the markdown source the introducing sentence</w:t>
      </w:r>
      <w:r>
        <w:t xml:space="preserve"> </w:t>
      </w:r>
      <w:r>
        <w:t xml:space="preserve">sits between two lists, but the converter absorbed it into the first, so the submitted DOCX</w:t>
      </w:r>
      <w:r>
        <w:t xml:space="preserve"> </w:t>
      </w:r>
      <w:r>
        <w:t xml:space="preserve">numbered it as an item. The source looked correct and the document you read was not.</w:t>
      </w:r>
    </w:p>
    <w:p>
      <w:pPr>
        <w:pStyle w:val="BodyText"/>
      </w:pPr>
      <w:r>
        <w:t xml:space="preserve">Rather than re-wrap the sentence and hope, the grouping is now explicit and cannot be</w:t>
      </w:r>
      <w:r>
        <w:t xml:space="preserve"> </w:t>
      </w:r>
      <w:r>
        <w:t xml:space="preserve">absorbed by any converter:</w:t>
      </w:r>
      <w:r>
        <w:t xml:space="preserve"> </w:t>
      </w:r>
      <w:r>
        <w:rPr>
          <w:b/>
          <w:bCs/>
        </w:rPr>
        <w:t xml:space="preserve">A1–A4</w:t>
      </w:r>
      <w:r>
        <w:t xml:space="preserve"> </w:t>
      </w:r>
      <w:r>
        <w:t xml:space="preserve">for the four internal identities and</w:t>
      </w:r>
      <w:r>
        <w:t xml:space="preserve"> </w:t>
      </w:r>
      <w:r>
        <w:rPr>
          <w:b/>
          <w:bCs/>
        </w:rPr>
        <w:t xml:space="preserve">B1–B2</w:t>
      </w:r>
      <w:r>
        <w:t xml:space="preserve"> </w:t>
      </w:r>
      <w:r>
        <w:t xml:space="preserve">for the</w:t>
      </w:r>
      <w:r>
        <w:t xml:space="preserve"> </w:t>
      </w:r>
      <w:r>
        <w:t xml:space="preserve">two closed-form references, each family under its own heading, with a lead sentence saying</w:t>
      </w:r>
      <w:r>
        <w:t xml:space="preserve"> </w:t>
      </w:r>
      <w:r>
        <w:t xml:space="preserve">“six checks, in two families; nothing else in this list is a check.”</w:t>
      </w:r>
      <w:r>
        <w:t xml:space="preserve"> </w:t>
      </w:r>
      <w:r>
        <w:t xml:space="preserve">Later cross-references</w:t>
      </w:r>
      <w:r>
        <w:t xml:space="preserve"> </w:t>
      </w:r>
      <w:r>
        <w:t xml:space="preserve">to</w:t>
      </w:r>
      <w:r>
        <w:t xml:space="preserve"> </w:t>
      </w:r>
      <w:r>
        <w:t xml:space="preserve">“check 5”</w:t>
      </w:r>
      <w:r>
        <w:t xml:space="preserve"> </w:t>
      </w:r>
      <w:r>
        <w:t xml:space="preserve">have been renamed accordingly.</w:t>
      </w:r>
    </w:p>
    <w:p>
      <w:pPr>
        <w:pStyle w:val="BodyText"/>
      </w:pPr>
      <w:r>
        <w:rPr>
          <w:b/>
          <w:bCs/>
        </w:rPr>
        <w:t xml:space="preserve">4. Please specify the complete severity grid used for each injected defect. Since the</w:t>
      </w:r>
      <w:r>
        <w:rPr>
          <w:b/>
          <w:bCs/>
        </w:rPr>
        <w:t xml:space="preserve"> </w:t>
      </w:r>
      <w:r>
        <w:rPr>
          <w:b/>
          <w:bCs/>
        </w:rPr>
        <w:t xml:space="preserve">first reported detection severity is consistently 0.1, readers should know whether this is</w:t>
      </w:r>
      <w:r>
        <w:rPr>
          <w:b/>
          <w:bCs/>
        </w:rPr>
        <w:t xml:space="preserve"> </w:t>
      </w:r>
      <w:r>
        <w:rPr>
          <w:b/>
          <w:bCs/>
        </w:rPr>
        <w:t xml:space="preserve">the resolution limit of the experiment. The number of stochastic repetitions or seeds and</w:t>
      </w:r>
      <w:r>
        <w:rPr>
          <w:b/>
          <w:bCs/>
        </w:rPr>
        <w:t xml:space="preserve"> </w:t>
      </w:r>
      <w:r>
        <w:rPr>
          <w:b/>
          <w:bCs/>
        </w:rPr>
        <w:t xml:space="preserve">the procedure used to derive each tolerance from estimator reproducibility should also be</w:t>
      </w:r>
      <w:r>
        <w:rPr>
          <w:b/>
          <w:bCs/>
        </w:rPr>
        <w:t xml:space="preserve"> </w:t>
      </w:r>
      <w:r>
        <w:rPr>
          <w:b/>
          <w:bCs/>
        </w:rPr>
        <w:t xml:space="preserve">described more explicitly.</w:t>
      </w:r>
    </w:p>
    <w:p>
      <w:pPr>
        <w:pStyle w:val="BodyText"/>
      </w:pPr>
      <w:r>
        <w:t xml:space="preserve">All three are now stated in Section 2.5, under a new paragraph headed</w:t>
      </w:r>
      <w:r>
        <w:t xml:space="preserve"> </w:t>
      </w:r>
      <w:r>
        <w:rPr>
          <w:i/>
          <w:iCs/>
        </w:rPr>
        <w:t xml:space="preserve">The grid, and what</w:t>
      </w:r>
      <w:r>
        <w:rPr>
          <w:i/>
          <w:iCs/>
        </w:rPr>
        <w:t xml:space="preserve"> </w:t>
      </w:r>
      <w:r>
        <w:rPr>
          <w:i/>
          <w:iCs/>
        </w:rPr>
        <w:t xml:space="preserve">it can and cannot resolve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grid is the same eleven points for every defect,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64 noise realisations at each point, with the random streams fixed by seed so a rerun</w:t>
      </w:r>
      <w:r>
        <w:t xml:space="preserve"> </w:t>
      </w:r>
      <w:r>
        <w:t xml:space="preserve">reproduces the table exactly;</w:t>
      </w:r>
    </w:p>
    <w:p>
      <w:pPr>
        <w:pStyle w:val="Compact"/>
        <w:numPr>
          <w:ilvl w:val="0"/>
          <w:numId w:val="1001"/>
        </w:numPr>
      </w:pPr>
      <w:r>
        <w:t xml:space="preserve">each tolerance is set from the estimator’s measured residual over those 64 realisations,</w:t>
      </w:r>
      <w:r>
        <w:t xml:space="preserve"> </w:t>
      </w:r>
      <w:r>
        <w:t xml:space="preserve">with an order of magnitude of margin, as listed in Table 1.</w:t>
      </w:r>
    </w:p>
    <w:p>
      <w:pPr>
        <w:pStyle w:val="FirstParagraph"/>
      </w:pPr>
      <w:r>
        <w:t xml:space="preserve">On your specific question:</w:t>
      </w:r>
      <w:r>
        <w:t xml:space="preserve"> </w:t>
      </w:r>
      <w:r>
        <w:rPr>
          <w:b/>
          <w:bCs/>
        </w:rPr>
        <w:t xml:space="preserve">yes, 0.1 is the resolution limit, and the manuscript now says</w:t>
      </w:r>
      <w:r>
        <w:rPr>
          <w:b/>
          <w:bCs/>
        </w:rPr>
        <w:t xml:space="preserve"> </w:t>
      </w:r>
      <w:r>
        <w:rPr>
          <w:b/>
          <w:bCs/>
        </w:rPr>
        <w:t xml:space="preserve">so in those terms.</w:t>
      </w:r>
      <w:r>
        <w:t xml:space="preserve"> </w:t>
      </w:r>
      <w:r>
        <w:t xml:space="preserve">Seven of the eight detections occur at the smallest non-zero severity</w:t>
      </w:r>
      <w:r>
        <w:t xml:space="preserve"> </w:t>
      </w:r>
      <w:r>
        <w:t xml:space="preserve">examined, which is a property of the grid as much as of the checks. The paper’s claim is</w:t>
      </w:r>
      <w:r>
        <w:t xml:space="preserve"> </w:t>
      </w:r>
      <w:r>
        <w:t xml:space="preserve">therefore that detection precedes materiality, which the grid does resolve, and not that a</w:t>
      </w:r>
      <w:r>
        <w:t xml:space="preserve"> </w:t>
      </w:r>
      <w:r>
        <w:t xml:space="preserve">detection threshold has been measured, which it does not. I would rather state that</w:t>
      </w:r>
      <w:r>
        <w:t xml:space="preserve"> </w:t>
      </w:r>
      <w:r>
        <w:t xml:space="preserve">limitation than leave a reader to infer a precision the experiment does not have.</w:t>
      </w:r>
    </w:p>
    <w:p>
      <w:pPr>
        <w:pStyle w:val="BodyText"/>
      </w:pPr>
      <w:r>
        <w:rPr>
          <w:b/>
          <w:bCs/>
        </w:rPr>
        <w:t xml:space="preserve">5. Four internal identities are introduced, yet Table 4 reports only three for the</w:t>
      </w:r>
      <w:r>
        <w:rPr>
          <w:b/>
          <w:bCs/>
        </w:rPr>
        <w:t xml:space="preserve"> </w:t>
      </w:r>
      <w:r>
        <w:rPr>
          <w:b/>
          <w:bCs/>
        </w:rPr>
        <w:t xml:space="preserve">measured-scanner experiment. Please either explain the omission of the NEQ/prewhitening</w:t>
      </w:r>
      <w:r>
        <w:rPr>
          <w:b/>
          <w:bCs/>
        </w:rPr>
        <w:t xml:space="preserve"> </w:t>
      </w:r>
      <w:r>
        <w:rPr>
          <w:b/>
          <w:bCs/>
        </w:rPr>
        <w:t xml:space="preserve">bridge identity or include its result. If not all four identities were evaluated, the claim</w:t>
      </w:r>
      <w:r>
        <w:rPr>
          <w:b/>
          <w:bCs/>
        </w:rPr>
        <w:t xml:space="preserve"> </w:t>
      </w:r>
      <w:r>
        <w:rPr>
          <w:b/>
          <w:bCs/>
        </w:rPr>
        <w:t xml:space="preserve">that they</w:t>
      </w:r>
      <w:r>
        <w:rPr>
          <w:b/>
          <w:bCs/>
        </w:rPr>
        <w:t xml:space="preserve"> </w:t>
      </w:r>
      <w:r>
        <w:rPr>
          <w:b/>
          <w:bCs/>
        </w:rPr>
        <w:t xml:space="preserve">“transferred intact”</w:t>
      </w:r>
      <w:r>
        <w:rPr>
          <w:b/>
          <w:bCs/>
        </w:rPr>
        <w:t xml:space="preserve"> </w:t>
      </w:r>
      <w:r>
        <w:rPr>
          <w:b/>
          <w:bCs/>
        </w:rPr>
        <w:t xml:space="preserve">should be qualified.</w:t>
      </w:r>
    </w:p>
    <w:p>
      <w:pPr>
        <w:pStyle w:val="BodyText"/>
      </w:pPr>
      <w:r>
        <w:t xml:space="preserve">This was the most valuable comment in either report, and both halves of it were right.</w:t>
      </w:r>
    </w:p>
    <w:p>
      <w:pPr>
        <w:pStyle w:val="BodyText"/>
      </w:pPr>
      <w:r>
        <w:t xml:space="preserve">The reason for the omission existed in the manuscript, in Section 4.6, and nowhere near</w:t>
      </w:r>
      <w:r>
        <w:t xml:space="preserve"> </w:t>
      </w:r>
      <w:r>
        <w:t xml:space="preserve">Table 4 — so you met the gap without meeting the reason, which is a failure of the writing</w:t>
      </w:r>
      <w:r>
        <w:t xml:space="preserve"> </w:t>
      </w:r>
      <w:r>
        <w:t xml:space="preserve">rather than of the reading.</w:t>
      </w:r>
      <w:r>
        <w:t xml:space="preserve"> </w:t>
      </w:r>
      <w:r>
        <w:rPr>
          <w:rStyle w:val="VerbatimChar"/>
        </w:rPr>
        <w:t xml:space="preserve">bridge</w:t>
      </w:r>
      <w:r>
        <w:t xml:space="preserve"> </w:t>
      </w:r>
      <w:r>
        <w:t xml:space="preserve">compares a prewhitening observer using the measured</w:t>
      </w:r>
      <w:r>
        <w:t xml:space="preserve"> </w:t>
      </w:r>
      <w:r>
        <w:t xml:space="preserve">noise spectrum against an NEQ route requiring an analytic noise scalar. On a physical</w:t>
      </w:r>
      <w:r>
        <w:t xml:space="preserve"> </w:t>
      </w:r>
      <w:r>
        <w:t xml:space="preserve">scanner those two routes stop sharing a noise model, so what the check then measures is</w:t>
      </w:r>
      <w:r>
        <w:t xml:space="preserve"> </w:t>
      </w:r>
      <w:r>
        <w:t xml:space="preserve">that disagreement rather than the correctness of the pipeline. It is now stated in Section</w:t>
      </w:r>
      <w:r>
        <w:t xml:space="preserve"> </w:t>
      </w:r>
      <w:r>
        <w:t xml:space="preserve">3.8 where the reader meets the table, and again in the caption of Table 4, since a reader</w:t>
      </w:r>
      <w:r>
        <w:t xml:space="preserve"> </w:t>
      </w:r>
      <w:r>
        <w:t xml:space="preserve">may reach the table first.</w:t>
      </w:r>
    </w:p>
    <w:p>
      <w:pPr>
        <w:pStyle w:val="BodyText"/>
      </w:pPr>
      <w:r>
        <w:rPr>
          <w:b/>
          <w:bCs/>
        </w:rPr>
        <w:t xml:space="preserve">And the abstract was overclaiming.</w:t>
      </w:r>
      <w:r>
        <w:t xml:space="preserve"> </w:t>
      </w:r>
      <w:r>
        <w:t xml:space="preserve">It said</w:t>
      </w:r>
      <w:r>
        <w:t xml:space="preserve"> </w:t>
      </w:r>
      <w:r>
        <w:t xml:space="preserve">“the identities transferred intact”</w:t>
      </w:r>
      <w:r>
        <w:t xml:space="preserve">; only</w:t>
      </w:r>
      <w:r>
        <w:t xml:space="preserve"> </w:t>
      </w:r>
      <w:r>
        <w:t xml:space="preserve">three of the four can be evaluated on measured data at all. It now reads</w:t>
      </w:r>
      <w:r>
        <w:t xml:space="preserve"> </w:t>
      </w:r>
      <w:r>
        <w:t xml:space="preserve">“the three</w:t>
      </w:r>
      <w:r>
        <w:t xml:space="preserve"> </w:t>
      </w:r>
      <w:r>
        <w:t xml:space="preserve">identities that can be evaluated without ground truth transferred intact”</w:t>
      </w:r>
      <w:r>
        <w:t xml:space="preserve">. No new</w:t>
      </w:r>
      <w:r>
        <w:t xml:space="preserve"> </w:t>
      </w:r>
      <w:r>
        <w:t xml:space="preserve">computation was needed — the claim was simply wider than the evidence, and you caught it.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0" w:name="corrections-not-prompted-by-a-comment"/>
    <w:p>
      <w:pPr>
        <w:pStyle w:val="Heading2"/>
      </w:pPr>
      <w:r>
        <w:t xml:space="preserve">Corrections not prompted by a comment</w:t>
      </w:r>
    </w:p>
    <w:p>
      <w:pPr>
        <w:pStyle w:val="FirstParagraph"/>
      </w:pPr>
      <w:r>
        <w:t xml:space="preserve">Two things were found while acting on the comments above. Both were wrong in the submitted</w:t>
      </w:r>
      <w:r>
        <w:t xml:space="preserve"> </w:t>
      </w:r>
      <w:r>
        <w:t xml:space="preserve">manuscript, and I would rather report them than let them pass.</w:t>
      </w:r>
    </w:p>
    <w:p>
      <w:pPr>
        <w:pStyle w:val="BodyText"/>
      </w:pPr>
      <w:r>
        <w:rPr>
          <w:b/>
          <w:bCs/>
        </w:rPr>
        <w:t xml:space="preserve">1. The Data Availability Statement was false, and the code it omitted is now published.</w:t>
      </w:r>
    </w:p>
    <w:p>
      <w:pPr>
        <w:pStyle w:val="BodyText"/>
      </w:pPr>
      <w:r>
        <w:t xml:space="preserve">The submitted statement said that all the code is at</w:t>
      </w:r>
      <w:r>
        <w:t xml:space="preserve"> </w:t>
      </w:r>
      <w:r>
        <w:rPr>
          <w:rStyle w:val="VerbatimChar"/>
        </w:rPr>
        <w:t xml:space="preserve">taskiq-core</w:t>
      </w:r>
      <w:r>
        <w:t xml:space="preserve"> </w:t>
      </w:r>
      <w:r>
        <w:t xml:space="preserve">and that every number is</w:t>
      </w:r>
      <w:r>
        <w:t xml:space="preserve"> </w:t>
      </w:r>
      <w:r>
        <w:t xml:space="preserve">written by the scripts producing the figures. That is true of the synthetic arm and false of</w:t>
      </w:r>
      <w:r>
        <w:t xml:space="preserve"> </w:t>
      </w:r>
      <w:r>
        <w:t xml:space="preserve">the real-scanner arm. Tables 3 and 4, Figure 5 and Sections 2.6 to 3.8 are produced by</w:t>
      </w:r>
      <w:r>
        <w:t xml:space="preserve"> </w:t>
      </w:r>
      <w:r>
        <w:rPr>
          <w:rStyle w:val="VerbatimChar"/>
        </w:rPr>
        <w:t xml:space="preserve">examples/acr_atlas.py</w:t>
      </w:r>
      <w:r>
        <w:t xml:space="preserve"> </w:t>
      </w:r>
      <w:r>
        <w:t xml:space="preserve">in a second package,</w:t>
      </w:r>
      <w:r>
        <w:t xml:space="preserve"> </w:t>
      </w:r>
      <w:r>
        <w:rPr>
          <w:rStyle w:val="VerbatimChar"/>
        </w:rPr>
        <w:t xml:space="preserve">ldct-io</w:t>
      </w:r>
      <w:r>
        <w:t xml:space="preserve">, which supplies the DICOM-CT-PD</w:t>
      </w:r>
      <w:r>
        <w:t xml:space="preserve"> </w:t>
      </w:r>
      <w:r>
        <w:t xml:space="preserve">reading, the single-slice rebinning and the filtered backprojection. That package was not</w:t>
      </w:r>
      <w:r>
        <w:t xml:space="preserve"> </w:t>
      </w:r>
      <w:r>
        <w:t xml:space="preserve">cited and had never been published.</w:t>
      </w:r>
    </w:p>
    <w:p>
      <w:pPr>
        <w:pStyle w:val="BodyText"/>
      </w:pPr>
      <w:r>
        <w:t xml:space="preserve">For a paper whose argument is that a result you cannot re-derive is a result you cannot</w:t>
      </w:r>
      <w:r>
        <w:t xml:space="preserve"> </w:t>
      </w:r>
      <w:r>
        <w:t xml:space="preserve">check, this was not a citation slip. It has been fixed at the source rather than in the</w:t>
      </w:r>
      <w:r>
        <w:t xml:space="preserve"> </w:t>
      </w:r>
      <w:r>
        <w:t xml:space="preserve">wording: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ldct-io</w:t>
      </w:r>
      <w:r>
        <w:rPr>
          <w:b/>
          <w:bCs/>
        </w:rPr>
        <w:t xml:space="preserve"> </w:t>
      </w:r>
      <w:r>
        <w:rPr>
          <w:b/>
          <w:bCs/>
        </w:rPr>
        <w:t xml:space="preserve">is now public</w:t>
      </w:r>
      <w:r>
        <w:t xml:space="preserve"> </w:t>
      </w:r>
      <w:r>
        <w:t xml:space="preserve">at</w:t>
      </w:r>
      <w:r>
        <w:t xml:space="preserve"> </w:t>
      </w:r>
      <w:hyperlink r:id="rId9">
        <w:r>
          <w:rPr>
            <w:rStyle w:val="Hyperlink"/>
          </w:rPr>
          <w:t xml:space="preserve">https://github.com/Institute-of-One/ldct-io</w:t>
        </w:r>
      </w:hyperlink>
      <w:r>
        <w:t xml:space="preserve"> </w:t>
      </w:r>
      <w:r>
        <w:t xml:space="preserve">under the MIT</w:t>
      </w:r>
      <w:r>
        <w:t xml:space="preserve"> </w:t>
      </w:r>
      <w:r>
        <w:t xml:space="preserve">licence, with 60 passing tests, continuous integration, and its reconstruction validated</w:t>
      </w:r>
      <w:r>
        <w:t xml:space="preserve"> </w:t>
      </w:r>
      <w:r>
        <w:t xml:space="preserve">against closed-form answers rather than against a stored output of itself;</w:t>
      </w:r>
    </w:p>
    <w:p>
      <w:pPr>
        <w:pStyle w:val="Compact"/>
        <w:numPr>
          <w:ilvl w:val="0"/>
          <w:numId w:val="1002"/>
        </w:numPr>
      </w:pPr>
      <w:r>
        <w:t xml:space="preserve">five example scripts had a single machine’s archive path hard-coded, which would have left</w:t>
      </w:r>
      <w:r>
        <w:t xml:space="preserve"> </w:t>
      </w:r>
      <w:r>
        <w:t xml:space="preserve">a reader unable to run any of them; the location now comes from an environment variable;</w:t>
      </w:r>
    </w:p>
    <w:p>
      <w:pPr>
        <w:pStyle w:val="Compact"/>
        <w:numPr>
          <w:ilvl w:val="0"/>
          <w:numId w:val="1002"/>
        </w:numPr>
      </w:pPr>
      <w:r>
        <w:t xml:space="preserve">the Data Availability Statement now says which half of the work lives where, and states</w:t>
      </w:r>
      <w:r>
        <w:t xml:space="preserve"> </w:t>
      </w:r>
      <w:r>
        <w:t xml:space="preserve">plainly that</w:t>
      </w:r>
      <w:r>
        <w:t xml:space="preserve"> </w:t>
      </w:r>
      <w:r>
        <w:rPr>
          <w:b/>
          <w:bCs/>
        </w:rPr>
        <w:t xml:space="preserve">neither package reproduces the atlas alone.</w:t>
      </w:r>
    </w:p>
    <w:p>
      <w:pPr>
        <w:pStyle w:val="FirstParagraph"/>
      </w:pPr>
      <w:r>
        <w:rPr>
          <w:b/>
          <w:bCs/>
        </w:rPr>
        <w:t xml:space="preserve">2. The affiliation has been corrected to the form the author’s other papers carry.</w:t>
      </w:r>
    </w:p>
    <w:p>
      <w:pPr>
        <w:pStyle w:val="BodyText"/>
      </w:pPr>
      <w:r>
        <w:t xml:space="preserve">The submitted manuscript omitted the postal code, and the author record entered in the</w:t>
      </w:r>
      <w:r>
        <w:t xml:space="preserve"> </w:t>
      </w:r>
      <w:r>
        <w:t xml:space="preserve">submission system also reads</w:t>
      </w:r>
      <w:r>
        <w:t xml:space="preserve"> </w:t>
      </w:r>
      <w:r>
        <w:t xml:space="preserve">“Institute of one, LISIT, Co., Ltd.”</w:t>
      </w:r>
      <w:r>
        <w:t xml:space="preserve"> </w:t>
      </w:r>
      <w:r>
        <w:t xml:space="preserve">The correct and</w:t>
      </w:r>
      <w:r>
        <w:t xml:space="preserve"> </w:t>
      </w:r>
      <w:r>
        <w:t xml:space="preserve">consistent form, as carried by this author’s papers in</w:t>
      </w:r>
      <w:r>
        <w:t xml:space="preserve"> </w:t>
      </w:r>
      <w:r>
        <w:rPr>
          <w:i/>
          <w:iCs/>
        </w:rPr>
        <w:t xml:space="preserve">Journal of Imaging</w:t>
      </w:r>
      <w:r>
        <w:t xml:space="preserve"> </w:t>
      </w:r>
      <w:r>
        <w:t xml:space="preserve">(12(8):392,</w:t>
      </w:r>
      <w:r>
        <w:t xml:space="preserve"> </w:t>
      </w:r>
      <w:r>
        <w:t xml:space="preserve">2026) and</w:t>
      </w:r>
      <w:r>
        <w:t xml:space="preserve"> </w:t>
      </w:r>
      <w:r>
        <w:rPr>
          <w:i/>
          <w:iCs/>
        </w:rPr>
        <w:t xml:space="preserve">Tomography</w:t>
      </w:r>
      <w:r>
        <w:t xml:space="preserve"> </w:t>
      </w:r>
      <w:r>
        <w:t xml:space="preserve">(12(9):125, 2026), is:</w:t>
      </w:r>
    </w:p>
    <w:p>
      <w:pPr>
        <w:pStyle w:val="BlockText"/>
      </w:pPr>
      <w:r>
        <w:t xml:space="preserve">Institute of One, LISIT Co., Ltd., Tokyo 150-0044, Japan</w:t>
      </w:r>
    </w:p>
    <w:p>
      <w:pPr>
        <w:pStyle w:val="FirstParagraph"/>
      </w:pPr>
      <w:r>
        <w:t xml:space="preserve">The manuscript is corrected.</w:t>
      </w:r>
      <w:r>
        <w:t xml:space="preserve"> </w:t>
      </w:r>
      <w:r>
        <w:rPr>
          <w:b/>
          <w:bCs/>
        </w:rPr>
        <w:t xml:space="preserve">I would be grateful if the author record in the submission</w:t>
      </w:r>
      <w:r>
        <w:rPr>
          <w:b/>
          <w:bCs/>
        </w:rPr>
        <w:t xml:space="preserve"> </w:t>
      </w:r>
      <w:r>
        <w:rPr>
          <w:b/>
          <w:bCs/>
        </w:rPr>
        <w:t xml:space="preserve">system could be corrected to match</w:t>
      </w:r>
      <w:r>
        <w:t xml:space="preserve">, as I do not appear to be able to edit it at this</w:t>
      </w:r>
      <w:r>
        <w:t xml:space="preserve"> </w:t>
      </w:r>
      <w:r>
        <w:t xml:space="preserve">stage.</w:t>
      </w:r>
    </w:p>
    <w:p>
      <w:r>
        <w:pict>
          <v:rect style="width:0;height:1.5pt" o:hralign="center" o:hrstd="t" o:hr="t"/>
        </w:pict>
      </w:r>
    </w:p>
    <w:bookmarkEnd w:id="10"/>
    <w:bookmarkStart w:id="11" w:name="english-language"/>
    <w:p>
      <w:pPr>
        <w:pStyle w:val="Heading2"/>
      </w:pPr>
      <w:r>
        <w:t xml:space="preserve">English language</w:t>
      </w:r>
    </w:p>
    <w:p>
      <w:pPr>
        <w:pStyle w:val="FirstParagraph"/>
      </w:pPr>
      <w:r>
        <w:t xml:space="preserve">Reviewer 1 marked the English as improvable and Reviewer 2 as not requiring improvement. I</w:t>
      </w:r>
      <w:r>
        <w:t xml:space="preserve"> </w:t>
      </w:r>
      <w:r>
        <w:t xml:space="preserve">have taken the first at face value: the whole manuscript has been reread for clarity, and</w:t>
      </w:r>
      <w:r>
        <w:t xml:space="preserve"> </w:t>
      </w:r>
      <w:r>
        <w:t xml:space="preserve">the passages Reviewer 2 identified as confusing — the detrending explanation, the</w:t>
      </w:r>
      <w:r>
        <w:t xml:space="preserve"> </w:t>
      </w:r>
      <w:r>
        <w:t xml:space="preserve">“refused”</w:t>
      </w:r>
      <w:r>
        <w:t xml:space="preserve"> </w:t>
      </w:r>
      <w:r>
        <w:t xml:space="preserve">sentence, and the definitions of severity, ESF, LSF and bridge — were the places where the</w:t>
      </w:r>
      <w:r>
        <w:t xml:space="preserve"> </w:t>
      </w:r>
      <w:r>
        <w:t xml:space="preserve">writing was in fact doing the least work. Those are rewritten rather than merely polished.</w:t>
      </w:r>
    </w:p>
    <w:p>
      <w:pPr>
        <w:pStyle w:val="BodyText"/>
      </w:pPr>
      <w:r>
        <w:t xml:space="preserve">Thank you both for reviews that improved the paper, and in two places corrected it.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Shuji Yamamoto</w:t>
      </w:r>
      <w:r>
        <w:t xml:space="preserve"> </w:t>
      </w:r>
      <w:r>
        <w:t xml:space="preserve">Institute of One, LISIT Co., Ltd., Tokyo 150-0044, Japan</w:t>
      </w:r>
      <w:r>
        <w:t xml:space="preserve"> </w:t>
      </w:r>
      <w:r>
        <w:t xml:space="preserve">ORCID 0000-0001-9211-1071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Institute-of-One/ldct-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Institute-of-One/ldct-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2026-09-07T06:38:20Z</dcterms:created>
  <dcterms:modified xsi:type="dcterms:W3CDTF">2026-09-07T06:38:20Z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