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sponse-to-reviewer-2-jimaging-4539482"/>
    <w:p>
      <w:pPr>
        <w:pStyle w:val="Heading1"/>
      </w:pPr>
      <w:r>
        <w:t xml:space="preserve">Response to Reviewer 2 — jimaging-4539482</w:t>
      </w:r>
    </w:p>
    <w:p>
      <w:pPr>
        <w:pStyle w:val="FirstParagraph"/>
      </w:pPr>
      <w:r>
        <w:rPr>
          <w:b/>
          <w:bCs/>
        </w:rPr>
        <w:t xml:space="preserve">Error Injection in Task-Based Image Quality Pipelines: What Regression Testing Cannot</w:t>
      </w:r>
      <w:r>
        <w:rPr>
          <w:b/>
          <w:bCs/>
        </w:rPr>
        <w:t xml:space="preserve"> </w:t>
      </w:r>
      <w:r>
        <w:rPr>
          <w:b/>
          <w:bCs/>
        </w:rPr>
        <w:t xml:space="preserve">Catch, and Why Neither Internal Identities nor Closed-Form References Suffice Alone</w:t>
      </w:r>
    </w:p>
    <w:p>
      <w:pPr>
        <w:pStyle w:val="BodyText"/>
      </w:pPr>
      <w:r>
        <w:t xml:space="preserve">Shuji Yamamoto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the careful reading. Every point you raised is addressed below, in order,</w:t>
      </w:r>
      <w:r>
        <w:t xml:space="preserve"> </w:t>
      </w:r>
      <w:r>
        <w:t xml:space="preserve">with the change made and where to find it. All changes are highlighted in the revised</w:t>
      </w:r>
      <w:r>
        <w:t xml:space="preserve"> </w:t>
      </w:r>
      <w:r>
        <w:t xml:space="preserve">manuscript.</w:t>
      </w:r>
    </w:p>
    <w:p>
      <w:pPr>
        <w:pStyle w:val="BodyText"/>
      </w:pPr>
      <w:r>
        <w:t xml:space="preserve">Thank you for the generous assessment and for nine precise requests. Almost all are places</w:t>
      </w:r>
      <w:r>
        <w:t xml:space="preserve"> </w:t>
      </w:r>
      <w:r>
        <w:t xml:space="preserve">where the paper used a term without introducing it, which is a fair criticism of a paper</w:t>
      </w:r>
      <w:r>
        <w:t xml:space="preserve"> </w:t>
      </w:r>
      <w:r>
        <w:t xml:space="preserve">that hopes to be read outside its own subfield. Each is answered by defining the term at</w:t>
      </w:r>
      <w:r>
        <w:t xml:space="preserve"> </w:t>
      </w:r>
      <w:r>
        <w:t xml:space="preserve">first use rather than by pointing at a reference.</w:t>
      </w:r>
    </w:p>
    <w:p>
      <w:pPr>
        <w:pStyle w:val="BodyText"/>
      </w:pPr>
      <w:r>
        <w:rPr>
          <w:b/>
          <w:bCs/>
        </w:rPr>
        <w:t xml:space="preserve">1.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“detectability”</w:t>
      </w:r>
      <w:r>
        <w:rPr>
          <w:b/>
          <w:bCs/>
        </w:rPr>
        <w:t xml:space="preserve"> </w:t>
      </w:r>
      <w:r>
        <w:rPr>
          <w:b/>
          <w:bCs/>
        </w:rPr>
        <w:t xml:space="preserve">and how it is evaluated; explain the</w:t>
      </w:r>
      <w:r>
        <w:rPr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number;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“phantom”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“synthetic phantom”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All three are now defined in Section 1. Detectability is introduced as the index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— the</w:t>
      </w:r>
      <w:r>
        <w:t xml:space="preserve"> </w:t>
      </w:r>
      <w:r>
        <w:t xml:space="preserve">separation between the observer’s responses to signal-present and signal-absent images</w:t>
      </w:r>
      <w:r>
        <w:t xml:space="preserve"> </w:t>
      </w:r>
      <w:r>
        <w:t xml:space="preserve">divided by the standard deviation of that response — with the note that it is dimensionless</w:t>
      </w:r>
      <w:r>
        <w:t xml:space="preserve"> </w:t>
      </w:r>
      <w:r>
        <w:t xml:space="preserve">and that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corresponds to roughly 92% correct in a two-alternative forced</w:t>
      </w:r>
      <w:r>
        <w:t xml:space="preserve"> </w:t>
      </w:r>
      <w:r>
        <w:t xml:space="preserve">choice, and that for the ideal observer it is computed in closed form rather than by</w:t>
      </w:r>
      <w:r>
        <w:t xml:space="preserve"> </w:t>
      </w:r>
      <w:r>
        <w:t xml:space="preserve">simulating decisions.</w:t>
      </w:r>
    </w:p>
    <w:p>
      <w:pPr>
        <w:pStyle w:val="BodyText"/>
      </w:pPr>
      <w:r>
        <w:t xml:space="preserve">The</w:t>
      </w:r>
      <w:r>
        <w:t xml:space="preserve"> </w:t>
      </w:r>
      <m:oMath>
        <m:sSup>
          <m:e>
            <m:r>
              <m:t>10</m:t>
            </m:r>
          </m:e>
          <m:sup>
            <m:r>
              <m:t>29</m:t>
            </m:r>
          </m:sup>
        </m:sSup>
      </m:oMath>
      <w:r>
        <w:t xml:space="preserve"> </w:t>
      </w:r>
      <w:r>
        <w:t xml:space="preserve">passage now explains the mechanism: where the computed NPS falls below the</w:t>
      </w:r>
      <w:r>
        <w:t xml:space="preserve"> </w:t>
      </w:r>
      <w:r>
        <w:t xml:space="preserve">smallest representable number, weighting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S</m:t>
        </m:r>
      </m:oMath>
      <w:r>
        <w:t xml:space="preserve"> </w:t>
      </w:r>
      <w:r>
        <w:t xml:space="preserve">multiplies those bins by an</w:t>
      </w:r>
      <w:r>
        <w:t xml:space="preserve"> </w:t>
      </w:r>
      <w:r>
        <w:t xml:space="preserve">enormous factor, and the result is an arithmetic artefact assembled from bins where the</w:t>
      </w:r>
      <w:r>
        <w:t xml:space="preserve"> </w:t>
      </w:r>
      <w:r>
        <w:t xml:space="preserve">“signal”</w:t>
      </w:r>
      <w:r>
        <w:t xml:space="preserve"> </w:t>
      </w:r>
      <w:r>
        <w:t xml:space="preserve">is rounding error. The text also makes the point that matters: a plausible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near unity, so</w:t>
      </w:r>
      <w:r>
        <w:t xml:space="preserve"> </w:t>
      </w:r>
      <m:oMath>
        <m:sSup>
          <m:e>
            <m:r>
              <m:t>10</m:t>
            </m:r>
          </m:e>
          <m:sup>
            <m:r>
              <m:t>29</m:t>
            </m:r>
          </m:sup>
        </m:sSup>
      </m:oMath>
      <w:r>
        <w:t xml:space="preserve"> </w:t>
      </w:r>
      <w:r>
        <w:t xml:space="preserve">is at least visibly wrong, and the same mechanism at milder decay</w:t>
      </w:r>
      <w:r>
        <w:t xml:space="preserve"> </w:t>
      </w:r>
      <w:r>
        <w:t xml:space="preserve">produces a number that is not.</w:t>
      </w:r>
    </w:p>
    <w:p>
      <w:pPr>
        <w:pStyle w:val="BodyText"/>
      </w:pPr>
      <w:r>
        <w:t xml:space="preserve">A phantom is now defined as an object of known composition imaged in place of a patient,</w:t>
      </w:r>
      <w:r>
        <w:t xml:space="preserve"> </w:t>
      </w:r>
      <w:r>
        <w:t xml:space="preserve">and a synthetic phantom as one existing only as an array of numbers, generated rather than</w:t>
      </w:r>
      <w:r>
        <w:t xml:space="preserve"> </w:t>
      </w:r>
      <w:r>
        <w:t xml:space="preserve">scanned, so that the answer is known analytically. The distinction carries weight</w:t>
      </w:r>
      <w:r>
        <w:t xml:space="preserve"> </w:t>
      </w:r>
      <w:r>
        <w:t xml:space="preserve">throughout the paper — a synthetic phantom supplies ground truth and a physical one does</w:t>
      </w:r>
      <w:r>
        <w:t xml:space="preserve"> </w:t>
      </w:r>
      <w:r>
        <w:t xml:space="preserve">not — so it is worth the sentence.</w:t>
      </w:r>
    </w:p>
    <w:p>
      <w:pPr>
        <w:pStyle w:val="BodyText"/>
      </w:pPr>
      <w:r>
        <w:rPr>
          <w:b/>
          <w:bCs/>
        </w:rPr>
        <w:t xml:space="preserve">2.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“severity”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“severity dial”</w:t>
      </w:r>
      <w:r>
        <w:rPr>
          <w:b/>
          <w:bCs/>
        </w:rPr>
        <w:t xml:space="preserve">. Is severity an exact parameter that can be</w:t>
      </w:r>
      <w:r>
        <w:rPr>
          <w:b/>
          <w:bCs/>
        </w:rPr>
        <w:t xml:space="preserve"> </w:t>
      </w:r>
      <w:r>
        <w:rPr>
          <w:b/>
          <w:bCs/>
        </w:rPr>
        <w:t xml:space="preserve">exactly evaluated, and how? Also explain</w:t>
      </w:r>
      <w:r>
        <w:rPr>
          <w:b/>
          <w:bCs/>
        </w:rPr>
        <w:t xml:space="preserve"> </w:t>
      </w:r>
      <w:r>
        <w:rPr>
          <w:b/>
          <w:bCs/>
        </w:rPr>
        <w:t xml:space="preserve">“omitted-sinc bias”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“floating-point</w:t>
      </w:r>
      <w:r>
        <w:rPr>
          <w:b/>
          <w:bCs/>
        </w:rPr>
        <w:t xml:space="preserve"> </w:t>
      </w:r>
      <w:r>
        <w:rPr>
          <w:b/>
          <w:bCs/>
        </w:rPr>
        <w:t xml:space="preserve">underflow”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Section 2.4 now says that severity is an exact parameter of the injection and not an</w:t>
      </w:r>
      <w:r>
        <w:t xml:space="preserve"> </w:t>
      </w:r>
      <w:r>
        <w:t xml:space="preserve">estimate of anything: it is the interpolation weight between the correct implementation and</w:t>
      </w:r>
      <w:r>
        <w:t xml:space="preserve"> </w:t>
      </w:r>
      <w:r>
        <w:t xml:space="preserve">the defective one, defined separately for each defect and computed rather than measured. A</w:t>
      </w:r>
      <w:r>
        <w:t xml:space="preserve"> </w:t>
      </w:r>
      <w:r>
        <w:t xml:space="preserve">severity dial is that parameter used as a continuous control, and the text now says why</w:t>
      </w:r>
      <w:r>
        <w:t xml:space="preserve"> </w:t>
      </w:r>
      <w:r>
        <w:t xml:space="preserve">that matters — a defect that is only present or absent gives one data point, whereas one</w:t>
      </w:r>
      <w:r>
        <w:t xml:space="preserve"> </w:t>
      </w:r>
      <w:r>
        <w:t xml:space="preserve">that can be turned up from nothing gives a curve, and the curve is where the comparison</w:t>
      </w:r>
      <w:r>
        <w:t xml:space="preserve"> </w:t>
      </w:r>
      <w:r>
        <w:t xml:space="preserve">between detection and materiality lives.</w:t>
      </w:r>
    </w:p>
    <w:p>
      <w:pPr>
        <w:pStyle w:val="BodyText"/>
      </w:pPr>
      <w:r>
        <w:t xml:space="preserve">Floating-point underflow is explained where it first appears, as above. The omitted-sinc</w:t>
      </w:r>
      <w:r>
        <w:t xml:space="preserve"> </w:t>
      </w:r>
      <w:r>
        <w:t xml:space="preserve">defect is defined by its formula in the same section: the bin-average and central-difference</w:t>
      </w:r>
      <w:r>
        <w:t xml:space="preserve"> </w:t>
      </w:r>
      <w:r>
        <w:t xml:space="preserve">transfer functions left in the MTF estimate,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T</m:t>
        </m:r>
        <m:r>
          <m:rPr>
            <m:sty m:val="p"/>
          </m:rPr>
          <m:t>F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t>f</m:t>
        </m:r>
        <m:r>
          <m:t>h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t>2</m:t>
        </m:r>
        <m:r>
          <m:t>f</m:t>
        </m:r>
        <m: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α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Define the edge-spread and line-spread functions and how they are formed; clarify the</w:t>
      </w:r>
      <w:r>
        <w:rPr>
          <w:b/>
          <w:bCs/>
        </w:rPr>
        <w:t xml:space="preserve"> </w:t>
      </w:r>
      <w:r>
        <w:rPr>
          <w:b/>
          <w:bCs/>
        </w:rPr>
        <w:t xml:space="preserve">mean-detrending passage at lines 163–165.</w:t>
      </w:r>
    </w:p>
    <w:p>
      <w:pPr>
        <w:pStyle w:val="BodyText"/>
      </w:pPr>
      <w:r>
        <w:t xml:space="preserve">Both done. The ESF is now defined at first use as the mean profile across the edge obtained</w:t>
      </w:r>
      <w:r>
        <w:t xml:space="preserve"> </w:t>
      </w:r>
      <w:r>
        <w:t xml:space="preserve">by projecting every pixel onto the edge normal and binning far below the pixel pitch — which</w:t>
      </w:r>
      <w:r>
        <w:t xml:space="preserve"> </w:t>
      </w:r>
      <w:r>
        <w:t xml:space="preserve">is what the edge’s tilt buys — and the LSF as its central difference between adjacent bins.</w:t>
      </w:r>
    </w:p>
    <w:p>
      <w:pPr>
        <w:pStyle w:val="BodyText"/>
      </w:pPr>
      <w:r>
        <w:t xml:space="preserve">The detrending passage was genuinely confusing and has been rewritten. It now says that</w:t>
      </w:r>
      <w:r>
        <w:t xml:space="preserve"> </w:t>
      </w:r>
      <w:r>
        <w:t xml:space="preserve">subtracting the mean from each region of interest sets the zero-frequency component to zero</w:t>
      </w:r>
      <w:r>
        <w:t xml:space="preserve"> </w:t>
      </w:r>
      <w:r>
        <w:t xml:space="preserve">up to rounding, so the DC bin holds the residue of that subtraction rather than a</w:t>
      </w:r>
      <w:r>
        <w:t xml:space="preserve"> </w:t>
      </w:r>
      <w:r>
        <w:t xml:space="preserve">measurement; that including it would make the dynamic range enormous for any field, white</w:t>
      </w:r>
      <w:r>
        <w:t xml:space="preserve"> </w:t>
      </w:r>
      <w:r>
        <w:t xml:space="preserve">noise included; and that the exclusion is bookkeeping about how the estimator works, not a</w:t>
      </w:r>
      <w:r>
        <w:t xml:space="preserve"> </w:t>
      </w:r>
      <w:r>
        <w:t xml:space="preserve">claim about the spectrum.</w:t>
      </w:r>
    </w:p>
    <w:p>
      <w:pPr>
        <w:pStyle w:val="BodyText"/>
      </w:pPr>
      <w:r>
        <w:rPr>
          <w:b/>
          <w:bCs/>
        </w:rPr>
        <w:t xml:space="preserve">4. Define the</w:t>
      </w:r>
      <w:r>
        <w:rPr>
          <w:b/>
          <w:bCs/>
        </w:rPr>
        <w:t xml:space="preserve"> </w:t>
      </w:r>
      <w:r>
        <w:rPr>
          <w:b/>
          <w:bCs/>
        </w:rPr>
        <w:t xml:space="preserve">“bridge”</w:t>
      </w:r>
      <w:r>
        <w:rPr>
          <w:b/>
          <w:bCs/>
        </w:rPr>
        <w:t xml:space="preserve"> </w:t>
      </w:r>
      <w:r>
        <w:rPr>
          <w:b/>
          <w:bCs/>
        </w:rPr>
        <w:t xml:space="preserve">measure and give its mathematical expression; it is only mentioned</w:t>
      </w:r>
      <w:r>
        <w:rPr>
          <w:b/>
          <w:bCs/>
        </w:rPr>
        <w:t xml:space="preserve"> </w:t>
      </w:r>
      <w:r>
        <w:rPr>
          <w:b/>
          <w:bCs/>
        </w:rPr>
        <w:t xml:space="preserve">in Table 1.</w:t>
      </w:r>
    </w:p>
    <w:p>
      <w:pPr>
        <w:pStyle w:val="BodyText"/>
      </w:pPr>
      <w:r>
        <w:t xml:space="preserve">Section 2.2 now gives it in the text, as two displayed integrals —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 NEQ</w:t>
      </w:r>
      <w:r>
        <w:t xml:space="preserve"> </w:t>
      </w:r>
      <w:r>
        <w:t xml:space="preserve">against the object power spectrum, and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 the prewhitening observer — with the</w:t>
      </w:r>
      <w:r>
        <w:t xml:space="preserve"> </w:t>
      </w:r>
      <w:r>
        <w:t xml:space="preserve">check itself defined as the relative difference between them, and the observation that with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Q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S</m:t>
        </m:r>
      </m:oMath>
      <w:r>
        <w:t xml:space="preserve"> </w:t>
      </w:r>
      <w:r>
        <w:t xml:space="preserve">the two integrands are the same expression</w:t>
      </w:r>
      <w:r>
        <w:t xml:space="preserve"> </w:t>
      </w:r>
      <w:r>
        <w:t xml:space="preserve">rearranged, which is why it is an identity and not an approximation.</w:t>
      </w:r>
    </w:p>
    <w:p>
      <w:pPr>
        <w:pStyle w:val="BodyText"/>
      </w:pPr>
      <w:r>
        <w:rPr>
          <w:b/>
          <w:bCs/>
        </w:rPr>
        <w:t xml:space="preserve">5. Line 355,</w:t>
      </w:r>
      <w:r>
        <w:rPr>
          <w:b/>
          <w:bCs/>
        </w:rPr>
        <w:t xml:space="preserve"> </w:t>
      </w:r>
      <w:r>
        <w:rPr>
          <w:b/>
          <w:bCs/>
        </w:rPr>
        <w:t xml:space="preserve">“beyond which a prewhitening observer is refused”</w:t>
      </w:r>
      <w:r>
        <w:rPr>
          <w:b/>
          <w:bCs/>
        </w:rPr>
        <w:t xml:space="preserve">, is unclear.</w:t>
      </w:r>
    </w:p>
    <w:p>
      <w:pPr>
        <w:pStyle w:val="BodyText"/>
      </w:pPr>
      <w:r>
        <w:t xml:space="preserve">Rewritten to say what was meant:</w:t>
      </w:r>
      <w:r>
        <w:t xml:space="preserve"> </w:t>
      </w:r>
      <w:r>
        <w:rPr>
          <w:i/>
          <w:iCs/>
        </w:rPr>
        <w:t xml:space="preserve">the threshold beyond which a prewhitening observer should</w:t>
      </w:r>
      <w:r>
        <w:rPr>
          <w:i/>
          <w:iCs/>
        </w:rPr>
        <w:t xml:space="preserve"> </w:t>
      </w:r>
      <w:r>
        <w:rPr>
          <w:i/>
          <w:iCs/>
        </w:rPr>
        <w:t xml:space="preserve">return no value at all rather than a computed one, because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ceased to be</w:t>
      </w:r>
      <w:r>
        <w:rPr>
          <w:i/>
          <w:iCs/>
        </w:rPr>
        <w:t xml:space="preserve"> </w:t>
      </w:r>
      <w:r>
        <w:rPr>
          <w:i/>
          <w:iCs/>
        </w:rPr>
        <w:t xml:space="preserve">numerically meaningful.</w:t>
      </w:r>
    </w:p>
    <w:p>
      <w:pPr>
        <w:pStyle w:val="BodyText"/>
      </w:pPr>
      <w:r>
        <w:rPr>
          <w:b/>
          <w:bCs/>
        </w:rPr>
        <w:t xml:space="preserve">6. More detail about the Python implementation, specifically taskiq-core; and explain more</w:t>
      </w:r>
      <w:r>
        <w:rPr>
          <w:b/>
          <w:bCs/>
        </w:rPr>
        <w:t xml:space="preserve"> </w:t>
      </w:r>
      <w:r>
        <w:rPr>
          <w:b/>
          <w:bCs/>
        </w:rPr>
        <w:t xml:space="preserve">clearly how AI tools were used in</w:t>
      </w:r>
      <w:r>
        <w:rPr>
          <w:b/>
          <w:bCs/>
        </w:rPr>
        <w:t xml:space="preserve"> </w:t>
      </w:r>
      <w:r>
        <w:rPr>
          <w:b/>
          <w:bCs/>
        </w:rPr>
        <w:t xml:space="preserve">“code scaffolding and refactoring”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The implementation now has a section of its own (2.7): a pure-Python package on NumPy and</w:t>
      </w:r>
      <w:r>
        <w:t xml:space="preserve"> </w:t>
      </w:r>
      <w:r>
        <w:t xml:space="preserve">SciPy, containing no DICOM handling and no patient data by design — which is what allows</w:t>
      </w:r>
      <w:r>
        <w:t xml:space="preserve"> </w:t>
      </w:r>
      <w:r>
        <w:t xml:space="preserve">every quantity in it to be checked against a closed form — the injection study as a single</w:t>
      </w:r>
      <w:r>
        <w:t xml:space="preserve"> </w:t>
      </w:r>
      <w:r>
        <w:t xml:space="preserve">script importing the library unmodified, and the test matrix.</w:t>
      </w:r>
    </w:p>
    <w:p>
      <w:pPr>
        <w:pStyle w:val="BodyText"/>
      </w:pPr>
      <w:r>
        <w:t xml:space="preserve">The second half of your comment was the more important one, and acting on it produced a</w:t>
      </w:r>
      <w:r>
        <w:t xml:space="preserve"> </w:t>
      </w:r>
      <w:r>
        <w:t xml:space="preserve">correction I would not otherwise have made.</w:t>
      </w:r>
      <w:r>
        <w:t xml:space="preserve"> </w:t>
      </w:r>
      <w:r>
        <w:rPr>
          <w:b/>
          <w:bCs/>
        </w:rPr>
        <w:t xml:space="preserve">The reconstruction of real projection data is</w:t>
      </w:r>
      <w:r>
        <w:rPr>
          <w:b/>
          <w:bCs/>
        </w:rPr>
        <w:t xml:space="preserve"> </w:t>
      </w:r>
      <w:r>
        <w:rPr>
          <w:b/>
          <w:bCs/>
        </w:rPr>
        <w:t xml:space="preserve">not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taskiq-core</w:t>
      </w:r>
      <w:r>
        <w:rPr>
          <w:b/>
          <w:bCs/>
        </w:rPr>
        <w:t xml:space="preserve"> </w:t>
      </w:r>
      <w:r>
        <w:rPr>
          <w:b/>
          <w:bCs/>
        </w:rPr>
        <w:t xml:space="preserve">at all.</w:t>
      </w:r>
      <w:r>
        <w:t xml:space="preserve"> </w:t>
      </w:r>
      <w:r>
        <w:t xml:space="preserve">It is in a second package,</w:t>
      </w:r>
      <w:r>
        <w:t xml:space="preserve"> </w:t>
      </w:r>
      <w:r>
        <w:rPr>
          <w:rStyle w:val="VerbatimChar"/>
        </w:rPr>
        <w:t xml:space="preserve">ldct-io</w:t>
      </w:r>
      <w:r>
        <w:t xml:space="preserve">, which the submitted</w:t>
      </w:r>
      <w:r>
        <w:t xml:space="preserve"> </w:t>
      </w:r>
      <w:r>
        <w:t xml:space="preserve">manuscript did not cite and which was not published. Please see</w:t>
      </w:r>
      <w:r>
        <w:t xml:space="preserve"> </w:t>
      </w:r>
      <w:r>
        <w:rPr>
          <w:i/>
          <w:iCs/>
        </w:rPr>
        <w:t xml:space="preserve">Corrections not prompted by</w:t>
      </w:r>
      <w:r>
        <w:rPr>
          <w:i/>
          <w:iCs/>
        </w:rPr>
        <w:t xml:space="preserve"> </w:t>
      </w:r>
      <w:r>
        <w:rPr>
          <w:i/>
          <w:iCs/>
        </w:rPr>
        <w:t xml:space="preserve">a comment</w:t>
      </w:r>
      <w:r>
        <w:t xml:space="preserve">, below.</w:t>
      </w:r>
    </w:p>
    <w:p>
      <w:pPr>
        <w:pStyle w:val="BodyText"/>
      </w:pPr>
      <w:r>
        <w:t xml:space="preserve">The AI disclosure (now Section 2.8) has been made specific rather than reassuring. It states</w:t>
      </w:r>
      <w:r>
        <w:t xml:space="preserve"> </w:t>
      </w:r>
      <w:r>
        <w:t xml:space="preserve">what the model drafted — initial versions of the estimator, phantom and test code, the</w:t>
      </w:r>
      <w:r>
        <w:t xml:space="preserve"> </w:t>
      </w:r>
      <w:r>
        <w:t xml:space="preserve">figure and study scripts, refactoring, and manuscript text — and what it did not do: it did</w:t>
      </w:r>
      <w:r>
        <w:t xml:space="preserve"> </w:t>
      </w:r>
      <w:r>
        <w:t xml:space="preserve">not choose which defects to inject, set any tolerance, or decide what the results mean.</w:t>
      </w:r>
    </w:p>
    <w:p>
      <w:pPr>
        <w:pStyle w:val="BodyText"/>
      </w:pPr>
      <w:r>
        <w:t xml:space="preserve">It also states a fact that belongs in this paper more than in most:</w:t>
      </w:r>
      <w:r>
        <w:t xml:space="preserve"> </w:t>
      </w:r>
      <w:r>
        <w:rPr>
          <w:b/>
          <w:bCs/>
        </w:rPr>
        <w:t xml:space="preserve">three of the six</w:t>
      </w:r>
      <w:r>
        <w:rPr>
          <w:b/>
          <w:bCs/>
        </w:rPr>
        <w:t xml:space="preserve"> </w:t>
      </w:r>
      <w:r>
        <w:rPr>
          <w:b/>
          <w:bCs/>
        </w:rPr>
        <w:t xml:space="preserve">defects studied were not invented for the experiment.</w:t>
      </w:r>
      <w:r>
        <w:t xml:space="preserve"> </w:t>
      </w:r>
      <w:r>
        <w:t xml:space="preserve">They were real errors in drafted</w:t>
      </w:r>
      <w:r>
        <w:t xml:space="preserve"> </w:t>
      </w:r>
      <w:r>
        <w:t xml:space="preserve">code — the bin-centre position error, the radially-blurred disk, and the missing noise floor</w:t>
      </w:r>
      <w:r>
        <w:t xml:space="preserve"> </w:t>
      </w:r>
      <w:r>
        <w:t xml:space="preserve">— found by the closed-form checks described here and only then turned into controlled</w:t>
      </w:r>
      <w:r>
        <w:t xml:space="preserve"> </w:t>
      </w:r>
      <w:r>
        <w:t xml:space="preserve">injections. The checks were the means by which the assistance was verified, which is this</w:t>
      </w:r>
      <w:r>
        <w:t xml:space="preserve"> </w:t>
      </w:r>
      <w:r>
        <w:t xml:space="preserve">paper’s argument applied to its own production.</w:t>
      </w:r>
    </w:p>
    <w:p>
      <w:pPr>
        <w:pStyle w:val="BodyText"/>
      </w:pPr>
      <w:r>
        <w:rPr>
          <w:b/>
          <w:bCs/>
        </w:rPr>
        <w:t xml:space="preserve">7. Grammar, line 287:</w:t>
      </w:r>
      <w:r>
        <w:rPr>
          <w:b/>
          <w:bCs/>
        </w:rPr>
        <w:t xml:space="preserve"> </w:t>
      </w:r>
      <w:r>
        <w:rPr>
          <w:b/>
          <w:bCs/>
        </w:rPr>
        <w:t xml:space="preserve">“throughout”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“throughout the interval”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Corrected; the sentence now reads</w:t>
      </w:r>
      <w:r>
        <w:t xml:space="preserve"> </w:t>
      </w:r>
      <w:r>
        <w:t xml:space="preserve">“the same estimators used throughout the study”</w:t>
      </w:r>
      <w:r>
        <w:t xml:space="preserve">, which is</w:t>
      </w:r>
      <w:r>
        <w:t xml:space="preserve"> </w:t>
      </w:r>
      <w:r>
        <w:t xml:space="preserve">what was meant there.</w:t>
      </w:r>
    </w:p>
    <w:p>
      <w:pPr>
        <w:pStyle w:val="BodyText"/>
      </w:pPr>
      <w:r>
        <w:rPr>
          <w:b/>
          <w:bCs/>
        </w:rPr>
        <w:t xml:space="preserve">8. Two suggested references.</w:t>
      </w:r>
    </w:p>
    <w:p>
      <w:pPr>
        <w:pStyle w:val="BodyText"/>
      </w:pPr>
      <w:r>
        <w:t xml:space="preserve">Thank you for both. I have taken one and, following the editorial checklist’s instruction</w:t>
      </w:r>
      <w:r>
        <w:t xml:space="preserve"> </w:t>
      </w:r>
      <w:r>
        <w:t xml:space="preserve">to assess suggested references critically, declined the other with a reason.</w:t>
      </w:r>
    </w:p>
    <w:p>
      <w:pPr>
        <w:pStyle w:val="BodyText"/>
      </w:pPr>
      <w:r>
        <w:rPr>
          <w:b/>
          <w:bCs/>
        </w:rPr>
        <w:t xml:space="preserve">Taken.</w:t>
      </w:r>
      <w:r>
        <w:t xml:space="preserve"> </w:t>
      </w:r>
      <w:r>
        <w:t xml:space="preserve">Song K-H, Shan C, Xu G, et al.,</w:t>
      </w:r>
      <w:r>
        <w:t xml:space="preserve"> </w:t>
      </w:r>
      <w:r>
        <w:rPr>
          <w:i/>
          <w:iCs/>
        </w:rPr>
        <w:t xml:space="preserve">Phantom evaluation of small-pixel effect in</w:t>
      </w:r>
      <w:r>
        <w:rPr>
          <w:i/>
          <w:iCs/>
        </w:rPr>
        <w:t xml:space="preserve"> </w:t>
      </w:r>
      <w:r>
        <w:rPr>
          <w:i/>
          <w:iCs/>
        </w:rPr>
        <w:t xml:space="preserve">ultra-high-resolution photon-counting CT</w:t>
      </w:r>
      <w:r>
        <w:t xml:space="preserve"> </w:t>
      </w:r>
      <w:r>
        <w:t xml:space="preserve">(J Appl Clin Med Phys 2026;27:e70776), now</w:t>
      </w:r>
      <w:r>
        <w:t xml:space="preserve"> </w:t>
      </w:r>
      <w:r>
        <w:t xml:space="preserve">reference [21]. It is directly relevant: it reports noise texture and high-contrast</w:t>
      </w:r>
      <w:r>
        <w:t xml:space="preserve"> </w:t>
      </w:r>
      <w:r>
        <w:t xml:space="preserve">resolution as the paired quantities a change of pixel size moves, which is the same coupling</w:t>
      </w:r>
      <w:r>
        <w:t xml:space="preserve"> </w:t>
      </w:r>
      <w:r>
        <w:t xml:space="preserve">this paper observes under a change of reconstruction kernel. It is cited in Section 3.7</w:t>
      </w:r>
      <w:r>
        <w:t xml:space="preserve"> </w:t>
      </w:r>
      <w:r>
        <w:t xml:space="preserve">where that coupling is discussed, and used to make the point that the checks are stated on</w:t>
      </w:r>
      <w:r>
        <w:t xml:space="preserve"> </w:t>
      </w:r>
      <w:r>
        <w:t xml:space="preserve">those quantities rather than on any particular detector.</w:t>
      </w:r>
    </w:p>
    <w:p>
      <w:pPr>
        <w:pStyle w:val="BodyText"/>
      </w:pPr>
      <w:r>
        <w:rPr>
          <w:b/>
          <w:bCs/>
        </w:rPr>
        <w:t xml:space="preserve">Declined.</w:t>
      </w:r>
      <w:r>
        <w:t xml:space="preserve"> </w:t>
      </w:r>
      <w:r>
        <w:t xml:space="preserve">Kline A, Gaonkar A, Pittman D, et al.,</w:t>
      </w:r>
      <w:r>
        <w:t xml:space="preserve"> </w:t>
      </w:r>
      <w:r>
        <w:rPr>
          <w:i/>
          <w:iCs/>
        </w:rPr>
        <w:t xml:space="preserve">From Redaction to Restoration: Deep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for Medical Image Deidentification and Reconstruction</w:t>
      </w:r>
      <w:r>
        <w:t xml:space="preserve"> </w:t>
      </w:r>
      <w:r>
        <w:t xml:space="preserve">(J Digit Imaging Inform Med</w:t>
      </w:r>
      <w:r>
        <w:t xml:space="preserve"> </w:t>
      </w:r>
      <w:r>
        <w:t xml:space="preserve">2026). I read it and could not find a place where it would inform this manuscript’s</w:t>
      </w:r>
      <w:r>
        <w:t xml:space="preserve"> </w:t>
      </w:r>
      <w:r>
        <w:t xml:space="preserve">argument: it concerns de-identification and restoration of medical images, whereas this</w:t>
      </w:r>
      <w:r>
        <w:t xml:space="preserve"> </w:t>
      </w:r>
      <w:r>
        <w:t xml:space="preserve">paper is about implementation errors in physical and observer estimators and how they are</w:t>
      </w:r>
      <w:r>
        <w:t xml:space="preserve"> </w:t>
      </w:r>
      <w:r>
        <w:t xml:space="preserve">detected. Citing it would add a reference the text does not use. I would of course include</w:t>
      </w:r>
      <w:r>
        <w:t xml:space="preserve"> </w:t>
      </w:r>
      <w:r>
        <w:t xml:space="preserve">it if you see a connection I have missed.</w:t>
      </w:r>
    </w:p>
    <w:p>
      <w:pPr>
        <w:pStyle w:val="BodyText"/>
      </w:pPr>
      <w:r>
        <w:rPr>
          <w:b/>
          <w:bCs/>
        </w:rPr>
        <w:t xml:space="preserve">9. Inline expressions and numerical values should be the same size as the text.</w:t>
      </w:r>
    </w:p>
    <w:p>
      <w:pPr>
        <w:pStyle w:val="BodyText"/>
      </w:pPr>
      <w:r>
        <w:t xml:space="preserve">Corrected throughout. Inline mathematics is now set inline rather than as display</w:t>
      </w:r>
      <w:r>
        <w:t xml:space="preserve"> </w:t>
      </w:r>
      <w:r>
        <w:t xml:space="preserve">mathematics, including the paragraph between lines 121 and 132 that you identified, and the</w:t>
      </w:r>
      <w:r>
        <w:t xml:space="preserve"> </w:t>
      </w:r>
      <w:r>
        <w:t xml:space="preserve">whole text was checked for the same problem.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corrections-not-prompted-by-a-comment"/>
    <w:p>
      <w:pPr>
        <w:pStyle w:val="Heading2"/>
      </w:pPr>
      <w:r>
        <w:t xml:space="preserve">Corrections not prompted by a comment</w:t>
      </w:r>
    </w:p>
    <w:p>
      <w:pPr>
        <w:pStyle w:val="FirstParagraph"/>
      </w:pPr>
      <w:r>
        <w:t xml:space="preserve">Two things were found while acting on the comments above. Both were wrong in the submitted</w:t>
      </w:r>
      <w:r>
        <w:t xml:space="preserve"> </w:t>
      </w:r>
      <w:r>
        <w:t xml:space="preserve">manuscript, and I would rather report them than let them pass.</w:t>
      </w:r>
    </w:p>
    <w:p>
      <w:pPr>
        <w:pStyle w:val="BodyText"/>
      </w:pPr>
      <w:r>
        <w:rPr>
          <w:b/>
          <w:bCs/>
        </w:rPr>
        <w:t xml:space="preserve">1. The Data Availability Statement was false, and the code it omitted is now published.</w:t>
      </w:r>
    </w:p>
    <w:p>
      <w:pPr>
        <w:pStyle w:val="BodyText"/>
      </w:pPr>
      <w:r>
        <w:t xml:space="preserve">The submitted statement said that all the code is at</w:t>
      </w:r>
      <w:r>
        <w:t xml:space="preserve"> </w:t>
      </w:r>
      <w:r>
        <w:rPr>
          <w:rStyle w:val="VerbatimChar"/>
        </w:rPr>
        <w:t xml:space="preserve">taskiq-core</w:t>
      </w:r>
      <w:r>
        <w:t xml:space="preserve"> </w:t>
      </w:r>
      <w:r>
        <w:t xml:space="preserve">and that every number is</w:t>
      </w:r>
      <w:r>
        <w:t xml:space="preserve"> </w:t>
      </w:r>
      <w:r>
        <w:t xml:space="preserve">written by the scripts producing the figures. That is true of the synthetic arm and false of</w:t>
      </w:r>
      <w:r>
        <w:t xml:space="preserve"> </w:t>
      </w:r>
      <w:r>
        <w:t xml:space="preserve">the real-scanner arm. Tables 3 and 4, Figure 5 and Sections 2.6 to 3.8 are produced by</w:t>
      </w:r>
      <w:r>
        <w:t xml:space="preserve"> </w:t>
      </w:r>
      <w:r>
        <w:rPr>
          <w:rStyle w:val="VerbatimChar"/>
        </w:rPr>
        <w:t xml:space="preserve">examples/acr_atlas.py</w:t>
      </w:r>
      <w:r>
        <w:t xml:space="preserve"> </w:t>
      </w:r>
      <w:r>
        <w:t xml:space="preserve">in a second package,</w:t>
      </w:r>
      <w:r>
        <w:t xml:space="preserve"> </w:t>
      </w:r>
      <w:r>
        <w:rPr>
          <w:rStyle w:val="VerbatimChar"/>
        </w:rPr>
        <w:t xml:space="preserve">ldct-io</w:t>
      </w:r>
      <w:r>
        <w:t xml:space="preserve">, which supplies the DICOM-CT-PD</w:t>
      </w:r>
      <w:r>
        <w:t xml:space="preserve"> </w:t>
      </w:r>
      <w:r>
        <w:t xml:space="preserve">reading, the single-slice rebinning and the filtered backprojection. That package was not</w:t>
      </w:r>
      <w:r>
        <w:t xml:space="preserve"> </w:t>
      </w:r>
      <w:r>
        <w:t xml:space="preserve">cited and had never been published.</w:t>
      </w:r>
    </w:p>
    <w:p>
      <w:pPr>
        <w:pStyle w:val="BodyText"/>
      </w:pPr>
      <w:r>
        <w:t xml:space="preserve">For a paper whose argument is that a result you cannot re-derive is a result you cannot</w:t>
      </w:r>
      <w:r>
        <w:t xml:space="preserve"> </w:t>
      </w:r>
      <w:r>
        <w:t xml:space="preserve">check, this was not a citation slip. It has been fixed at the source rather than in the</w:t>
      </w:r>
      <w:r>
        <w:t xml:space="preserve"> </w:t>
      </w:r>
      <w:r>
        <w:t xml:space="preserve">wording: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ldct-io</w:t>
      </w:r>
      <w:r>
        <w:rPr>
          <w:b/>
          <w:bCs/>
        </w:rPr>
        <w:t xml:space="preserve"> </w:t>
      </w:r>
      <w:r>
        <w:rPr>
          <w:b/>
          <w:bCs/>
        </w:rPr>
        <w:t xml:space="preserve">is now public</w:t>
      </w:r>
      <w:r>
        <w:t xml:space="preserve"> </w:t>
      </w:r>
      <w:r>
        <w:t xml:space="preserve">at</w:t>
      </w:r>
      <w:r>
        <w:t xml:space="preserve"> </w:t>
      </w:r>
      <w:hyperlink r:id="rId9">
        <w:r>
          <w:rPr>
            <w:rStyle w:val="Hyperlink"/>
          </w:rPr>
          <w:t xml:space="preserve">https://github.com/Institute-of-One/ldct-io</w:t>
        </w:r>
      </w:hyperlink>
      <w:r>
        <w:t xml:space="preserve"> </w:t>
      </w:r>
      <w:r>
        <w:t xml:space="preserve">under the MIT</w:t>
      </w:r>
      <w:r>
        <w:t xml:space="preserve"> </w:t>
      </w:r>
      <w:r>
        <w:t xml:space="preserve">licence, with 60 passing tests, continuous integration, and its reconstruction validated</w:t>
      </w:r>
      <w:r>
        <w:t xml:space="preserve"> </w:t>
      </w:r>
      <w:r>
        <w:t xml:space="preserve">against closed-form answers rather than against a stored output of itself;</w:t>
      </w:r>
    </w:p>
    <w:p>
      <w:pPr>
        <w:pStyle w:val="Compact"/>
        <w:numPr>
          <w:ilvl w:val="0"/>
          <w:numId w:val="1001"/>
        </w:numPr>
      </w:pPr>
      <w:r>
        <w:t xml:space="preserve">five example scripts had a single machine’s archive path hard-coded, which would have left</w:t>
      </w:r>
      <w:r>
        <w:t xml:space="preserve"> </w:t>
      </w:r>
      <w:r>
        <w:t xml:space="preserve">a reader unable to run any of them; the location now comes from an environment variable;</w:t>
      </w:r>
    </w:p>
    <w:p>
      <w:pPr>
        <w:pStyle w:val="Compact"/>
        <w:numPr>
          <w:ilvl w:val="0"/>
          <w:numId w:val="1001"/>
        </w:numPr>
      </w:pPr>
      <w:r>
        <w:t xml:space="preserve">the Data Availability Statement now says which half of the work lives where, and states</w:t>
      </w:r>
      <w:r>
        <w:t xml:space="preserve"> </w:t>
      </w:r>
      <w:r>
        <w:t xml:space="preserve">plainly that</w:t>
      </w:r>
      <w:r>
        <w:t xml:space="preserve"> </w:t>
      </w:r>
      <w:r>
        <w:rPr>
          <w:b/>
          <w:bCs/>
        </w:rPr>
        <w:t xml:space="preserve">neither package reproduces the atlas alone.</w:t>
      </w:r>
    </w:p>
    <w:p>
      <w:pPr>
        <w:pStyle w:val="FirstParagraph"/>
      </w:pPr>
      <w:r>
        <w:rPr>
          <w:b/>
          <w:bCs/>
        </w:rPr>
        <w:t xml:space="preserve">2. The affiliation has been corrected to the form the author’s other papers carry.</w:t>
      </w:r>
    </w:p>
    <w:p>
      <w:pPr>
        <w:pStyle w:val="BodyText"/>
      </w:pPr>
      <w:r>
        <w:t xml:space="preserve">The submitted manuscript omitted the postal code, and the author record entered in the</w:t>
      </w:r>
      <w:r>
        <w:t xml:space="preserve"> </w:t>
      </w:r>
      <w:r>
        <w:t xml:space="preserve">submission system also reads</w:t>
      </w:r>
      <w:r>
        <w:t xml:space="preserve"> </w:t>
      </w:r>
      <w:r>
        <w:t xml:space="preserve">“Institute of one, LISIT, Co., Ltd.”</w:t>
      </w:r>
      <w:r>
        <w:t xml:space="preserve"> </w:t>
      </w:r>
      <w:r>
        <w:t xml:space="preserve">The correct and</w:t>
      </w:r>
      <w:r>
        <w:t xml:space="preserve"> </w:t>
      </w:r>
      <w:r>
        <w:t xml:space="preserve">consistent form, as carried by this author’s papers in</w:t>
      </w:r>
      <w:r>
        <w:t xml:space="preserve"> </w:t>
      </w:r>
      <w:r>
        <w:rPr>
          <w:i/>
          <w:iCs/>
        </w:rPr>
        <w:t xml:space="preserve">Journal of Imaging</w:t>
      </w:r>
      <w:r>
        <w:t xml:space="preserve"> </w:t>
      </w:r>
      <w:r>
        <w:t xml:space="preserve">(12(8):392,</w:t>
      </w:r>
      <w:r>
        <w:t xml:space="preserve"> </w:t>
      </w:r>
      <w:r>
        <w:t xml:space="preserve">2026) and</w:t>
      </w:r>
      <w:r>
        <w:t xml:space="preserve"> </w:t>
      </w:r>
      <w:r>
        <w:rPr>
          <w:i/>
          <w:iCs/>
        </w:rPr>
        <w:t xml:space="preserve">Tomography</w:t>
      </w:r>
      <w:r>
        <w:t xml:space="preserve"> </w:t>
      </w:r>
      <w:r>
        <w:t xml:space="preserve">(12(9):125, 2026), is:</w:t>
      </w:r>
    </w:p>
    <w:p>
      <w:pPr>
        <w:pStyle w:val="BlockText"/>
      </w:pPr>
      <w:r>
        <w:t xml:space="preserve">Institute of One, LISIT Co., Ltd., Tokyo 150-0044, Japan</w:t>
      </w:r>
    </w:p>
    <w:p>
      <w:pPr>
        <w:pStyle w:val="FirstParagraph"/>
      </w:pPr>
      <w:r>
        <w:t xml:space="preserve">The manuscript is corrected.</w:t>
      </w:r>
      <w:r>
        <w:t xml:space="preserve"> </w:t>
      </w:r>
      <w:r>
        <w:rPr>
          <w:b/>
          <w:bCs/>
        </w:rPr>
        <w:t xml:space="preserve">I would be grateful if the author record in the submission</w:t>
      </w:r>
      <w:r>
        <w:rPr>
          <w:b/>
          <w:bCs/>
        </w:rPr>
        <w:t xml:space="preserve"> </w:t>
      </w:r>
      <w:r>
        <w:rPr>
          <w:b/>
          <w:bCs/>
        </w:rPr>
        <w:t xml:space="preserve">system could be corrected to match</w:t>
      </w:r>
      <w:r>
        <w:t xml:space="preserve">, as I do not appear to be able to edit it at this</w:t>
      </w:r>
      <w:r>
        <w:t xml:space="preserve"> </w:t>
      </w:r>
      <w:r>
        <w:t xml:space="preserve">stage.</w:t>
      </w:r>
    </w:p>
    <w:p>
      <w:r>
        <w:pict>
          <v:rect style="width:0;height:1.5pt" o:hralign="center" o:hrstd="t" o:hr="t"/>
        </w:pict>
      </w:r>
    </w:p>
    <w:bookmarkEnd w:id="10"/>
    <w:bookmarkStart w:id="11" w:name="english-language"/>
    <w:p>
      <w:pPr>
        <w:pStyle w:val="Heading2"/>
      </w:pPr>
      <w:r>
        <w:t xml:space="preserve">English language</w:t>
      </w:r>
    </w:p>
    <w:p>
      <w:pPr>
        <w:pStyle w:val="FirstParagraph"/>
      </w:pPr>
      <w:r>
        <w:t xml:space="preserve">Reviewer 1 marked the English as improvable and Reviewer 2 as not requiring improvement. I</w:t>
      </w:r>
      <w:r>
        <w:t xml:space="preserve"> </w:t>
      </w:r>
      <w:r>
        <w:t xml:space="preserve">have taken the first at face value: the whole manuscript has been reread for clarity, and</w:t>
      </w:r>
      <w:r>
        <w:t xml:space="preserve"> </w:t>
      </w:r>
      <w:r>
        <w:t xml:space="preserve">the passages Reviewer 2 identified as confusing — the detrending explanation, the</w:t>
      </w:r>
      <w:r>
        <w:t xml:space="preserve"> </w:t>
      </w:r>
      <w:r>
        <w:t xml:space="preserve">“refused”</w:t>
      </w:r>
      <w:r>
        <w:t xml:space="preserve"> </w:t>
      </w:r>
      <w:r>
        <w:t xml:space="preserve">sentence, and the definitions of severity, ESF, LSF and bridge — were the places where the</w:t>
      </w:r>
      <w:r>
        <w:t xml:space="preserve"> </w:t>
      </w:r>
      <w:r>
        <w:t xml:space="preserve">writing was in fact doing the least work. Those are rewritten rather than merely polished.</w:t>
      </w:r>
    </w:p>
    <w:p>
      <w:pPr>
        <w:pStyle w:val="BodyText"/>
      </w:pPr>
      <w:r>
        <w:t xml:space="preserve">Thank you both for reviews that improved the paper, and in two places corrected it.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Shuji Yamamoto</w:t>
      </w:r>
      <w:r>
        <w:t xml:space="preserve"> </w:t>
      </w:r>
      <w:r>
        <w:t xml:space="preserve">Institute of One, LISIT Co., Ltd., Tokyo 150-0044, Japan</w:t>
      </w:r>
      <w:r>
        <w:t xml:space="preserve"> </w:t>
      </w:r>
      <w:r>
        <w:t xml:space="preserve">ORCID 0000-0001-9211-1071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Institute-of-One/ldct-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Institute-of-One/ldct-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2026-09-07T06:38:20Z</dcterms:created>
  <dcterms:modified xsi:type="dcterms:W3CDTF">2026-09-07T06:38:20Z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