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esponse-to-reviewers-jimaging-4539482"/>
    <w:p>
      <w:pPr>
        <w:pStyle w:val="Heading1"/>
      </w:pPr>
      <w:r>
        <w:t xml:space="preserve">Response to reviewers — jimaging-4539482</w:t>
      </w:r>
    </w:p>
    <w:p>
      <w:pPr>
        <w:pStyle w:val="FirstParagraph"/>
      </w:pPr>
      <w:r>
        <w:rPr>
          <w:b/>
          <w:bCs/>
        </w:rPr>
        <w:t xml:space="preserve">Error Injection in Task-Based Image Quality Pipelines: What Regression Testing Cannot</w:t>
      </w:r>
      <w:r>
        <w:rPr>
          <w:b/>
          <w:bCs/>
        </w:rPr>
        <w:t xml:space="preserve"> </w:t>
      </w:r>
      <w:r>
        <w:rPr>
          <w:b/>
          <w:bCs/>
        </w:rPr>
        <w:t xml:space="preserve">Catch, and Why Neither Internal Identities nor Closed-Form References Suffice Alone</w:t>
      </w:r>
    </w:p>
    <w:p>
      <w:pPr>
        <w:pStyle w:val="BodyText"/>
      </w:pPr>
      <w:r>
        <w:t xml:space="preserve">Shuji Yamamoto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Dr Jiang and reviewers,</w:t>
      </w:r>
    </w:p>
    <w:p>
      <w:pPr>
        <w:pStyle w:val="BodyText"/>
      </w:pPr>
      <w:r>
        <w:t xml:space="preserve">Thank you for the careful reading. Every point is addressed below, in order, with the</w:t>
      </w:r>
      <w:r>
        <w:t xml:space="preserve"> </w:t>
      </w:r>
      <w:r>
        <w:t xml:space="preserve">change made and where to find it. All changes are highlighted in the revised manuscript.</w:t>
      </w:r>
    </w:p>
    <w:p>
      <w:pPr>
        <w:pStyle w:val="BodyText"/>
      </w:pPr>
      <w:r>
        <w:t xml:space="preserve">Two of the comments — Reviewer 1’s point 5 and Reviewer 2’s point 6 — led to corrections</w:t>
      </w:r>
      <w:r>
        <w:t xml:space="preserve"> </w:t>
      </w:r>
      <w:r>
        <w:t xml:space="preserve">larger than the comments asked for, and I have said so rather than quietly making the</w:t>
      </w:r>
      <w:r>
        <w:t xml:space="preserve"> </w:t>
      </w:r>
      <w:r>
        <w:t xml:space="preserve">minimum change. One further correction was found while acting on Reviewer 1’s point 2 and</w:t>
      </w:r>
      <w:r>
        <w:t xml:space="preserve"> </w:t>
      </w:r>
      <w:r>
        <w:t xml:space="preserve">is reported at the end under</w:t>
      </w:r>
      <w:r>
        <w:t xml:space="preserve"> </w:t>
      </w:r>
      <w:r>
        <w:rPr>
          <w:b/>
          <w:bCs/>
        </w:rPr>
        <w:t xml:space="preserve">Corrections not prompted by a comment</w:t>
      </w:r>
      <w:r>
        <w:t xml:space="preserve">, because it was a</w:t>
      </w:r>
      <w:r>
        <w:t xml:space="preserve"> </w:t>
      </w:r>
      <w:r>
        <w:t xml:space="preserve">false statement in the manuscript and you should know it was there.</w:t>
      </w:r>
    </w:p>
    <w:p>
      <w:r>
        <w:pict>
          <v:rect style="width:0;height:1.5pt" o:hralign="center" o:hrstd="t" o:hr="t"/>
        </w:pict>
      </w:r>
    </w:p>
    <w:bookmarkStart w:id="9" w:name="reviewer-1"/>
    <w:p>
      <w:pPr>
        <w:pStyle w:val="Heading2"/>
      </w:pPr>
      <w:r>
        <w:t xml:space="preserve">Reviewer 1</w:t>
      </w:r>
    </w:p>
    <w:p>
      <w:pPr>
        <w:pStyle w:val="FirstParagraph"/>
      </w:pPr>
      <w:r>
        <w:rPr>
          <w:b/>
          <w:bCs/>
        </w:rPr>
        <w:t xml:space="preserve">1. The Introduction would benefit from briefly positioning the proposed identities</w:t>
      </w:r>
      <w:r>
        <w:rPr>
          <w:b/>
          <w:bCs/>
        </w:rPr>
        <w:t xml:space="preserve"> </w:t>
      </w:r>
      <w:r>
        <w:rPr>
          <w:b/>
          <w:bCs/>
        </w:rPr>
        <w:t xml:space="preserve">relative to property-based testing, metamorphic testing, and verification practices for</w:t>
      </w:r>
      <w:r>
        <w:rPr>
          <w:b/>
          <w:bCs/>
        </w:rPr>
        <w:t xml:space="preserve"> </w:t>
      </w:r>
      <w:r>
        <w:rPr>
          <w:b/>
          <w:bCs/>
        </w:rPr>
        <w:t xml:space="preserve">scientific software.</w:t>
      </w:r>
    </w:p>
    <w:p>
      <w:pPr>
        <w:pStyle w:val="BodyText"/>
      </w:pPr>
      <w:r>
        <w:t xml:space="preserve">Agreed, and this was a real gap: the paper proposed checks whose reference comes from</w:t>
      </w:r>
      <w:r>
        <w:t xml:space="preserve"> </w:t>
      </w:r>
      <w:r>
        <w:t xml:space="preserve">outside the code without saying that this is a named idea with a literature behind it.</w:t>
      </w:r>
    </w:p>
    <w:p>
      <w:pPr>
        <w:pStyle w:val="BodyText"/>
      </w:pPr>
      <w:r>
        <w:t xml:space="preserve">A paragraph has been added at the end of Section 1.2 naming both correspondences</w:t>
      </w:r>
      <w:r>
        <w:t xml:space="preserve"> </w:t>
      </w:r>
      <w:r>
        <w:t xml:space="preserve">explicitly. The internal identities are properties in the sense of property-based testing</w:t>
      </w:r>
      <w:r>
        <w:t xml:space="preserve"> </w:t>
      </w:r>
      <w:r>
        <w:t xml:space="preserve">[18], with the algebra of the imaging chain supplying the property rather than a</w:t>
      </w:r>
      <w:r>
        <w:t xml:space="preserve"> </w:t>
      </w:r>
      <w:r>
        <w:t xml:space="preserve">programmer’s intuition; the checks comparing two routes to the same quantity are</w:t>
      </w:r>
      <w:r>
        <w:t xml:space="preserve"> </w:t>
      </w:r>
      <w:r>
        <w:t xml:space="preserve">metamorphic relations [19], the standard answer to the oracle problem, which is exactly</w:t>
      </w:r>
      <w:r>
        <w:t xml:space="preserve"> </w:t>
      </w:r>
      <w:r>
        <w:t xml:space="preserve">this paper’s situation. Verification practice for computational science is cited from the</w:t>
      </w:r>
      <w:r>
        <w:t xml:space="preserve"> </w:t>
      </w:r>
      <w:r>
        <w:t xml:space="preserve">scientific side [20]. The paragraph ends by saying what the paper adds that is not</w:t>
      </w:r>
      <w:r>
        <w:t xml:space="preserve"> </w:t>
      </w:r>
      <w:r>
        <w:t xml:space="preserve">borrowed: which relations exist for this particular chain, what each detects, what it</w:t>
      </w:r>
      <w:r>
        <w:t xml:space="preserve"> </w:t>
      </w:r>
      <w:r>
        <w:t xml:space="preserve">costs, and the finding that the two families are not interchangeable.</w:t>
      </w:r>
    </w:p>
    <w:p>
      <w:pPr>
        <w:pStyle w:val="BodyText"/>
      </w:pPr>
      <w:r>
        <w:rPr>
          <w:b/>
          <w:bCs/>
        </w:rPr>
        <w:t xml:space="preserve">2. Figure 4 is information-dense, and some labels and plotted series are difficult to</w:t>
      </w:r>
      <w:r>
        <w:rPr>
          <w:b/>
          <w:bCs/>
        </w:rPr>
        <w:t xml:space="preserve"> </w:t>
      </w:r>
      <w:r>
        <w:rPr>
          <w:b/>
          <w:bCs/>
        </w:rPr>
        <w:t xml:space="preserve">distinguish at normal page size. Please enlarge the labels and legend and consider adding</w:t>
      </w:r>
      <w:r>
        <w:rPr>
          <w:b/>
          <w:bCs/>
        </w:rPr>
        <w:t xml:space="preserve"> </w:t>
      </w:r>
      <w:r>
        <w:rPr>
          <w:b/>
          <w:bCs/>
        </w:rPr>
        <w:t xml:space="preserve">panel labels to Figures 4 and 5. Please also explain the boldface used in Table 2.</w:t>
      </w:r>
    </w:p>
    <w:p>
      <w:pPr>
        <w:pStyle w:val="BodyText"/>
      </w:pPr>
      <w:r>
        <w:t xml:space="preserve">Figure 4 has been regenerated: type enlarged throughout, 600 dpi instead of 300, and panel</w:t>
      </w:r>
      <w:r>
        <w:t xml:space="preserve"> </w:t>
      </w:r>
      <w:r>
        <w:t xml:space="preserve">labels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added. The cause was not only the base font size — every</w:t>
      </w:r>
      <w:r>
        <w:t xml:space="preserve"> </w:t>
      </w:r>
      <w:r>
        <w:t xml:space="preserve">per-call font size in the plotting code was overriding it, which is why the figure stayed</w:t>
      </w:r>
      <w:r>
        <w:t xml:space="preserve"> </w:t>
      </w:r>
      <w:r>
        <w:t xml:space="preserve">small.</w:t>
      </w:r>
    </w:p>
    <w:p>
      <w:pPr>
        <w:pStyle w:val="BodyText"/>
      </w:pPr>
      <w:r>
        <w:t xml:space="preserve">Regenerating it showed a second problem your comment covers but does not name, and I have</w:t>
      </w:r>
      <w:r>
        <w:t xml:space="preserve"> </w:t>
      </w:r>
      <w:r>
        <w:t xml:space="preserve">fixed that too. Every detection in panel (a) falls between 0.1 and 0.2 on a colour scale</w:t>
      </w:r>
      <w:r>
        <w:t xml:space="preserve"> </w:t>
      </w:r>
      <w:r>
        <w:t xml:space="preserve">running 0 to 1, so colour separated almost nothing.</w:t>
      </w:r>
      <w:r>
        <w:t xml:space="preserve"> </w:t>
      </w:r>
      <w:r>
        <w:rPr>
          <w:b/>
          <w:bCs/>
        </w:rPr>
        <w:t xml:space="preserve">Each cell now prints its severity</w:t>
      </w:r>
      <w:r>
        <w:t xml:space="preserve"> </w:t>
      </w:r>
      <w:r>
        <w:t xml:space="preserve">and the colour scale spans the data. The panel is exact rather than approximate, and it</w:t>
      </w:r>
      <w:r>
        <w:t xml:space="preserve"> </w:t>
      </w:r>
      <w:r>
        <w:t xml:space="preserve">happens to answer your point 4 visually as well.</w:t>
      </w:r>
    </w:p>
    <w:p>
      <w:pPr>
        <w:pStyle w:val="BodyText"/>
      </w:pPr>
      <w:r>
        <w:t xml:space="preserve">Figure 5 now carries panel labels. The boldface in Table 2 marks the single largest value</w:t>
      </w:r>
      <w:r>
        <w:t xml:space="preserve"> </w:t>
      </w:r>
      <w:r>
        <w:t xml:space="preserve">in its column, and the caption now says so.</w:t>
      </w:r>
    </w:p>
    <w:p>
      <w:pPr>
        <w:pStyle w:val="BodyText"/>
      </w:pPr>
      <w:r>
        <w:rPr>
          <w:b/>
          <w:bCs/>
        </w:rPr>
        <w:t xml:space="preserve">3. The checklist in Section 4.2 describes six checks but is numbered as seven items</w:t>
      </w:r>
      <w:r>
        <w:rPr>
          <w:b/>
          <w:bCs/>
        </w:rPr>
        <w:t xml:space="preserve"> </w:t>
      </w:r>
      <w:r>
        <w:rPr>
          <w:b/>
          <w:bCs/>
        </w:rPr>
        <w:t xml:space="preserve">because the two closed-form checks are introduced through an additional numbered item.</w:t>
      </w:r>
      <w:r>
        <w:rPr>
          <w:b/>
          <w:bCs/>
        </w:rPr>
        <w:t xml:space="preserve"> </w:t>
      </w:r>
      <w:r>
        <w:rPr>
          <w:b/>
          <w:bCs/>
        </w:rPr>
        <w:t xml:space="preserve">Please reorganize the numbering so that the four identities and two closed-form references</w:t>
      </w:r>
      <w:r>
        <w:rPr>
          <w:b/>
          <w:bCs/>
        </w:rPr>
        <w:t xml:space="preserve"> </w:t>
      </w:r>
      <w:r>
        <w:rPr>
          <w:b/>
          <w:bCs/>
        </w:rPr>
        <w:t xml:space="preserve">are unambiguous.</w:t>
      </w:r>
    </w:p>
    <w:p>
      <w:pPr>
        <w:pStyle w:val="BodyText"/>
      </w:pPr>
      <w:r>
        <w:t xml:space="preserve">You are right, and I found the mechanism: in the markdown source the introducing sentence</w:t>
      </w:r>
      <w:r>
        <w:t xml:space="preserve"> </w:t>
      </w:r>
      <w:r>
        <w:t xml:space="preserve">sits between two lists, but the converter absorbed it into the first, so the submitted DOCX</w:t>
      </w:r>
      <w:r>
        <w:t xml:space="preserve"> </w:t>
      </w:r>
      <w:r>
        <w:t xml:space="preserve">numbered it as an item. The source looked correct and the document you read was not.</w:t>
      </w:r>
    </w:p>
    <w:p>
      <w:pPr>
        <w:pStyle w:val="BodyText"/>
      </w:pPr>
      <w:r>
        <w:t xml:space="preserve">Rather than re-wrap the sentence and hope, the grouping is now explicit and cannot be</w:t>
      </w:r>
      <w:r>
        <w:t xml:space="preserve"> </w:t>
      </w:r>
      <w:r>
        <w:t xml:space="preserve">absorbed by any converter:</w:t>
      </w:r>
      <w:r>
        <w:t xml:space="preserve"> </w:t>
      </w:r>
      <w:r>
        <w:rPr>
          <w:b/>
          <w:bCs/>
        </w:rPr>
        <w:t xml:space="preserve">A1–A4</w:t>
      </w:r>
      <w:r>
        <w:t xml:space="preserve"> </w:t>
      </w:r>
      <w:r>
        <w:t xml:space="preserve">for the four internal identities and</w:t>
      </w:r>
      <w:r>
        <w:t xml:space="preserve"> </w:t>
      </w:r>
      <w:r>
        <w:rPr>
          <w:b/>
          <w:bCs/>
        </w:rPr>
        <w:t xml:space="preserve">B1–B2</w:t>
      </w:r>
      <w:r>
        <w:t xml:space="preserve"> </w:t>
      </w:r>
      <w:r>
        <w:t xml:space="preserve">for the</w:t>
      </w:r>
      <w:r>
        <w:t xml:space="preserve"> </w:t>
      </w:r>
      <w:r>
        <w:t xml:space="preserve">two closed-form references, each family under its own heading, with a lead sentence saying</w:t>
      </w:r>
      <w:r>
        <w:t xml:space="preserve"> </w:t>
      </w:r>
      <w:r>
        <w:t xml:space="preserve">“six checks, in two families; nothing else in this list is a check.”</w:t>
      </w:r>
      <w:r>
        <w:t xml:space="preserve"> </w:t>
      </w:r>
      <w:r>
        <w:t xml:space="preserve">Later cross-references</w:t>
      </w:r>
      <w:r>
        <w:t xml:space="preserve"> </w:t>
      </w:r>
      <w:r>
        <w:t xml:space="preserve">to</w:t>
      </w:r>
      <w:r>
        <w:t xml:space="preserve"> </w:t>
      </w:r>
      <w:r>
        <w:t xml:space="preserve">“check 5”</w:t>
      </w:r>
      <w:r>
        <w:t xml:space="preserve"> </w:t>
      </w:r>
      <w:r>
        <w:t xml:space="preserve">have been renamed accordingly.</w:t>
      </w:r>
    </w:p>
    <w:p>
      <w:pPr>
        <w:pStyle w:val="BodyText"/>
      </w:pPr>
      <w:r>
        <w:rPr>
          <w:b/>
          <w:bCs/>
        </w:rPr>
        <w:t xml:space="preserve">4. Please specify the complete severity grid used for each injected defect. Since the</w:t>
      </w:r>
      <w:r>
        <w:rPr>
          <w:b/>
          <w:bCs/>
        </w:rPr>
        <w:t xml:space="preserve"> </w:t>
      </w:r>
      <w:r>
        <w:rPr>
          <w:b/>
          <w:bCs/>
        </w:rPr>
        <w:t xml:space="preserve">first reported detection severity is consistently 0.1, readers should know whether this is</w:t>
      </w:r>
      <w:r>
        <w:rPr>
          <w:b/>
          <w:bCs/>
        </w:rPr>
        <w:t xml:space="preserve"> </w:t>
      </w:r>
      <w:r>
        <w:rPr>
          <w:b/>
          <w:bCs/>
        </w:rPr>
        <w:t xml:space="preserve">the resolution limit of the experiment. The number of stochastic repetitions or seeds and</w:t>
      </w:r>
      <w:r>
        <w:rPr>
          <w:b/>
          <w:bCs/>
        </w:rPr>
        <w:t xml:space="preserve"> </w:t>
      </w:r>
      <w:r>
        <w:rPr>
          <w:b/>
          <w:bCs/>
        </w:rPr>
        <w:t xml:space="preserve">the procedure used to derive each tolerance from estimator reproducibility should also be</w:t>
      </w:r>
      <w:r>
        <w:rPr>
          <w:b/>
          <w:bCs/>
        </w:rPr>
        <w:t xml:space="preserve"> </w:t>
      </w:r>
      <w:r>
        <w:rPr>
          <w:b/>
          <w:bCs/>
        </w:rPr>
        <w:t xml:space="preserve">described more explicitly.</w:t>
      </w:r>
    </w:p>
    <w:p>
      <w:pPr>
        <w:pStyle w:val="BodyText"/>
      </w:pPr>
      <w:r>
        <w:t xml:space="preserve">All three are now stated in Section 2.5, under a new paragraph headed</w:t>
      </w:r>
      <w:r>
        <w:t xml:space="preserve"> </w:t>
      </w:r>
      <w:r>
        <w:rPr>
          <w:i/>
          <w:iCs/>
        </w:rPr>
        <w:t xml:space="preserve">The grid, and what</w:t>
      </w:r>
      <w:r>
        <w:rPr>
          <w:i/>
          <w:iCs/>
        </w:rPr>
        <w:t xml:space="preserve"> </w:t>
      </w:r>
      <w:r>
        <w:rPr>
          <w:i/>
          <w:iCs/>
        </w:rPr>
        <w:t xml:space="preserve">it can and cannot resolve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grid is the same eleven points for every defect,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64 noise realisations at each point, with the random streams fixed by seed so a rerun</w:t>
      </w:r>
      <w:r>
        <w:t xml:space="preserve"> </w:t>
      </w:r>
      <w:r>
        <w:t xml:space="preserve">reproduces the table exactly;</w:t>
      </w:r>
    </w:p>
    <w:p>
      <w:pPr>
        <w:pStyle w:val="Compact"/>
        <w:numPr>
          <w:ilvl w:val="0"/>
          <w:numId w:val="1001"/>
        </w:numPr>
      </w:pPr>
      <w:r>
        <w:t xml:space="preserve">each tolerance is set from the estimator’s measured residual over those 64 realisations,</w:t>
      </w:r>
      <w:r>
        <w:t xml:space="preserve"> </w:t>
      </w:r>
      <w:r>
        <w:t xml:space="preserve">with an order of magnitude of margin, as listed in Table 1.</w:t>
      </w:r>
    </w:p>
    <w:p>
      <w:pPr>
        <w:pStyle w:val="FirstParagraph"/>
      </w:pPr>
      <w:r>
        <w:t xml:space="preserve">On your specific question:</w:t>
      </w:r>
      <w:r>
        <w:t xml:space="preserve"> </w:t>
      </w:r>
      <w:r>
        <w:rPr>
          <w:b/>
          <w:bCs/>
        </w:rPr>
        <w:t xml:space="preserve">yes, 0.1 is the resolution limit, and the manuscript now says</w:t>
      </w:r>
      <w:r>
        <w:rPr>
          <w:b/>
          <w:bCs/>
        </w:rPr>
        <w:t xml:space="preserve"> </w:t>
      </w:r>
      <w:r>
        <w:rPr>
          <w:b/>
          <w:bCs/>
        </w:rPr>
        <w:t xml:space="preserve">so in those terms.</w:t>
      </w:r>
      <w:r>
        <w:t xml:space="preserve"> </w:t>
      </w:r>
      <w:r>
        <w:t xml:space="preserve">Seven of the eight detections occur at the smallest non-zero severity</w:t>
      </w:r>
      <w:r>
        <w:t xml:space="preserve"> </w:t>
      </w:r>
      <w:r>
        <w:t xml:space="preserve">examined, which is a property of the grid as much as of the checks. The paper’s claim is</w:t>
      </w:r>
      <w:r>
        <w:t xml:space="preserve"> </w:t>
      </w:r>
      <w:r>
        <w:t xml:space="preserve">therefore that detection precedes materiality, which the grid does resolve, and not that a</w:t>
      </w:r>
      <w:r>
        <w:t xml:space="preserve"> </w:t>
      </w:r>
      <w:r>
        <w:t xml:space="preserve">detection threshold has been measured, which it does not. I would rather state that</w:t>
      </w:r>
      <w:r>
        <w:t xml:space="preserve"> </w:t>
      </w:r>
      <w:r>
        <w:t xml:space="preserve">limitation than leave a reader to infer a precision the experiment does not have.</w:t>
      </w:r>
    </w:p>
    <w:p>
      <w:pPr>
        <w:pStyle w:val="BodyText"/>
      </w:pPr>
      <w:r>
        <w:rPr>
          <w:b/>
          <w:bCs/>
        </w:rPr>
        <w:t xml:space="preserve">5. Four internal identities are introduced, yet Table 4 reports only three for the</w:t>
      </w:r>
      <w:r>
        <w:rPr>
          <w:b/>
          <w:bCs/>
        </w:rPr>
        <w:t xml:space="preserve"> </w:t>
      </w:r>
      <w:r>
        <w:rPr>
          <w:b/>
          <w:bCs/>
        </w:rPr>
        <w:t xml:space="preserve">measured-scanner experiment. Please either explain the omission of the NEQ/prewhitening</w:t>
      </w:r>
      <w:r>
        <w:rPr>
          <w:b/>
          <w:bCs/>
        </w:rPr>
        <w:t xml:space="preserve"> </w:t>
      </w:r>
      <w:r>
        <w:rPr>
          <w:b/>
          <w:bCs/>
        </w:rPr>
        <w:t xml:space="preserve">bridge identity or include its result. If not all four identities were evaluated, the claim</w:t>
      </w:r>
      <w:r>
        <w:rPr>
          <w:b/>
          <w:bCs/>
        </w:rPr>
        <w:t xml:space="preserve"> </w:t>
      </w:r>
      <w:r>
        <w:rPr>
          <w:b/>
          <w:bCs/>
        </w:rPr>
        <w:t xml:space="preserve">that they</w:t>
      </w:r>
      <w:r>
        <w:rPr>
          <w:b/>
          <w:bCs/>
        </w:rPr>
        <w:t xml:space="preserve"> </w:t>
      </w:r>
      <w:r>
        <w:rPr>
          <w:b/>
          <w:bCs/>
        </w:rPr>
        <w:t xml:space="preserve">“transferred intact”</w:t>
      </w:r>
      <w:r>
        <w:rPr>
          <w:b/>
          <w:bCs/>
        </w:rPr>
        <w:t xml:space="preserve"> </w:t>
      </w:r>
      <w:r>
        <w:rPr>
          <w:b/>
          <w:bCs/>
        </w:rPr>
        <w:t xml:space="preserve">should be qualified.</w:t>
      </w:r>
    </w:p>
    <w:p>
      <w:pPr>
        <w:pStyle w:val="BodyText"/>
      </w:pPr>
      <w:r>
        <w:t xml:space="preserve">This was the most valuable comment in either report, and both halves of it were right.</w:t>
      </w:r>
    </w:p>
    <w:p>
      <w:pPr>
        <w:pStyle w:val="BodyText"/>
      </w:pPr>
      <w:r>
        <w:t xml:space="preserve">The reason for the omission existed in the manuscript, in Section 4.6, and nowhere near</w:t>
      </w:r>
      <w:r>
        <w:t xml:space="preserve"> </w:t>
      </w:r>
      <w:r>
        <w:t xml:space="preserve">Table 4 — so you met the gap without meeting the reason, which is a failure of the writing</w:t>
      </w:r>
      <w:r>
        <w:t xml:space="preserve"> </w:t>
      </w:r>
      <w:r>
        <w:t xml:space="preserve">rather than of the reading.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 </w:t>
      </w:r>
      <w:r>
        <w:t xml:space="preserve">compares a prewhitening observer using the measured</w:t>
      </w:r>
      <w:r>
        <w:t xml:space="preserve"> </w:t>
      </w:r>
      <w:r>
        <w:t xml:space="preserve">noise spectrum against an NEQ route requiring an analytic noise scalar. On a physical</w:t>
      </w:r>
      <w:r>
        <w:t xml:space="preserve"> </w:t>
      </w:r>
      <w:r>
        <w:t xml:space="preserve">scanner those two routes stop sharing a noise model, so what the check then measures is</w:t>
      </w:r>
      <w:r>
        <w:t xml:space="preserve"> </w:t>
      </w:r>
      <w:r>
        <w:t xml:space="preserve">that disagreement rather than the correctness of the pipeline. It is now stated in Section</w:t>
      </w:r>
      <w:r>
        <w:t xml:space="preserve"> </w:t>
      </w:r>
      <w:r>
        <w:t xml:space="preserve">3.8 where the reader meets the table, and again in the caption of Table 4, since a reader</w:t>
      </w:r>
      <w:r>
        <w:t xml:space="preserve"> </w:t>
      </w:r>
      <w:r>
        <w:t xml:space="preserve">may reach the table first.</w:t>
      </w:r>
    </w:p>
    <w:p>
      <w:pPr>
        <w:pStyle w:val="BodyText"/>
      </w:pPr>
      <w:r>
        <w:rPr>
          <w:b/>
          <w:bCs/>
        </w:rPr>
        <w:t xml:space="preserve">And the abstract was overclaiming.</w:t>
      </w:r>
      <w:r>
        <w:t xml:space="preserve"> </w:t>
      </w:r>
      <w:r>
        <w:t xml:space="preserve">It said</w:t>
      </w:r>
      <w:r>
        <w:t xml:space="preserve"> </w:t>
      </w:r>
      <w:r>
        <w:t xml:space="preserve">“the identities transferred intact”</w:t>
      </w:r>
      <w:r>
        <w:t xml:space="preserve">; only</w:t>
      </w:r>
      <w:r>
        <w:t xml:space="preserve"> </w:t>
      </w:r>
      <w:r>
        <w:t xml:space="preserve">three of the four can be evaluated on measured data at all. It now reads</w:t>
      </w:r>
      <w:r>
        <w:t xml:space="preserve"> </w:t>
      </w:r>
      <w:r>
        <w:t xml:space="preserve">“the three</w:t>
      </w:r>
      <w:r>
        <w:t xml:space="preserve"> </w:t>
      </w:r>
      <w:r>
        <w:t xml:space="preserve">identities that can be evaluated without ground truth transferred intact”</w:t>
      </w:r>
      <w:r>
        <w:t xml:space="preserve">. No new</w:t>
      </w:r>
      <w:r>
        <w:t xml:space="preserve"> </w:t>
      </w:r>
      <w:r>
        <w:t xml:space="preserve">computation was needed — the claim was simply wider than the evidence, and you caught it.</w:t>
      </w:r>
    </w:p>
    <w:p>
      <w:r>
        <w:pict>
          <v:rect style="width:0;height:1.5pt" o:hralign="center" o:hrstd="t" o:hr="t"/>
        </w:pict>
      </w:r>
    </w:p>
    <w:bookmarkEnd w:id="9"/>
    <w:bookmarkStart w:id="10" w:name="reviewer-2"/>
    <w:p>
      <w:pPr>
        <w:pStyle w:val="Heading2"/>
      </w:pPr>
      <w:r>
        <w:t xml:space="preserve">Reviewer 2</w:t>
      </w:r>
    </w:p>
    <w:p>
      <w:pPr>
        <w:pStyle w:val="FirstParagraph"/>
      </w:pPr>
      <w:r>
        <w:t xml:space="preserve">Thank you for the generous assessment and for nine precise requests. Almost all are places</w:t>
      </w:r>
      <w:r>
        <w:t xml:space="preserve"> </w:t>
      </w:r>
      <w:r>
        <w:t xml:space="preserve">where the paper used a term without introducing it, which is a fair criticism of a paper</w:t>
      </w:r>
      <w:r>
        <w:t xml:space="preserve"> </w:t>
      </w:r>
      <w:r>
        <w:t xml:space="preserve">that hopes to be read outside its own subfield. Each is answered by defining the term at</w:t>
      </w:r>
      <w:r>
        <w:t xml:space="preserve"> </w:t>
      </w:r>
      <w:r>
        <w:t xml:space="preserve">first use rather than by pointing at a reference.</w:t>
      </w:r>
    </w:p>
    <w:p>
      <w:pPr>
        <w:pStyle w:val="BodyText"/>
      </w:pPr>
      <w:r>
        <w:rPr>
          <w:b/>
          <w:bCs/>
        </w:rPr>
        <w:t xml:space="preserve">1.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“detectability”</w:t>
      </w:r>
      <w:r>
        <w:rPr>
          <w:b/>
          <w:bCs/>
        </w:rPr>
        <w:t xml:space="preserve"> </w:t>
      </w:r>
      <w:r>
        <w:rPr>
          <w:b/>
          <w:bCs/>
        </w:rPr>
        <w:t xml:space="preserve">and how it is evaluated; explain the</w:t>
      </w:r>
      <w:r>
        <w:rPr>
          <w:b/>
          <w:bCs/>
        </w:rPr>
        <w:t xml:space="preserve"> </w:t>
      </w:r>
      <m:oMath>
        <m:sSup>
          <m:e>
            <m:r>
              <m:t>10</m:t>
            </m:r>
          </m:e>
          <m:sup>
            <m:r>
              <m:t>29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number;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“phantom”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“synthetic phantom”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All three are now defined in Section 1. Detectability is introduced as the index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— the</w:t>
      </w:r>
      <w:r>
        <w:t xml:space="preserve"> </w:t>
      </w:r>
      <w:r>
        <w:t xml:space="preserve">separation between the observer’s responses to signal-present and signal-absent images</w:t>
      </w:r>
      <w:r>
        <w:t xml:space="preserve"> </w:t>
      </w:r>
      <w:r>
        <w:t xml:space="preserve">divided by the standard deviation of that response — with the note that it is dimensionless</w:t>
      </w:r>
      <w:r>
        <w:t xml:space="preserve"> </w:t>
      </w:r>
      <w:r>
        <w:t xml:space="preserve">and that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2</m:t>
        </m:r>
      </m:oMath>
      <w:r>
        <w:t xml:space="preserve"> </w:t>
      </w:r>
      <w:r>
        <w:t xml:space="preserve">corresponds to roughly 92% correct in a two-alternative forced</w:t>
      </w:r>
      <w:r>
        <w:t xml:space="preserve"> </w:t>
      </w:r>
      <w:r>
        <w:t xml:space="preserve">choice, and that for the ideal observer it is computed in closed form rather than by</w:t>
      </w:r>
      <w:r>
        <w:t xml:space="preserve"> </w:t>
      </w:r>
      <w:r>
        <w:t xml:space="preserve">simulating decisions.</w:t>
      </w:r>
    </w:p>
    <w:p>
      <w:pPr>
        <w:pStyle w:val="BodyText"/>
      </w:pPr>
      <w:r>
        <w:t xml:space="preserve">The</w:t>
      </w:r>
      <w:r>
        <w:t xml:space="preserve"> </w:t>
      </w:r>
      <m:oMath>
        <m:sSup>
          <m:e>
            <m:r>
              <m:t>10</m:t>
            </m:r>
          </m:e>
          <m:sup>
            <m:r>
              <m:t>29</m:t>
            </m:r>
          </m:sup>
        </m:sSup>
      </m:oMath>
      <w:r>
        <w:t xml:space="preserve"> </w:t>
      </w:r>
      <w:r>
        <w:t xml:space="preserve">passage now explains the mechanism: where the computed NPS falls below the</w:t>
      </w:r>
      <w:r>
        <w:t xml:space="preserve"> </w:t>
      </w:r>
      <w:r>
        <w:t xml:space="preserve">smallest representable number, weighting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N</m:t>
        </m:r>
        <m:r>
          <m:rPr>
            <m:sty m:val="p"/>
          </m:rPr>
          <m:t>P</m:t>
        </m:r>
        <m:r>
          <m:rPr>
            <m:sty m:val="p"/>
          </m:rPr>
          <m:t>S</m:t>
        </m:r>
      </m:oMath>
      <w:r>
        <w:t xml:space="preserve"> </w:t>
      </w:r>
      <w:r>
        <w:t xml:space="preserve">multiplies those bins by an</w:t>
      </w:r>
      <w:r>
        <w:t xml:space="preserve"> </w:t>
      </w:r>
      <w:r>
        <w:t xml:space="preserve">enormous factor, and the result is an arithmetic artefact assembled from bins where the</w:t>
      </w:r>
      <w:r>
        <w:t xml:space="preserve"> </w:t>
      </w:r>
      <w:r>
        <w:t xml:space="preserve">“signal”</w:t>
      </w:r>
      <w:r>
        <w:t xml:space="preserve"> </w:t>
      </w:r>
      <w:r>
        <w:t xml:space="preserve">is rounding error. The text also makes the point that matters: a plausible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near unity, so</w:t>
      </w:r>
      <w:r>
        <w:t xml:space="preserve"> </w:t>
      </w:r>
      <m:oMath>
        <m:sSup>
          <m:e>
            <m:r>
              <m:t>10</m:t>
            </m:r>
          </m:e>
          <m:sup>
            <m:r>
              <m:t>29</m:t>
            </m:r>
          </m:sup>
        </m:sSup>
      </m:oMath>
      <w:r>
        <w:t xml:space="preserve"> </w:t>
      </w:r>
      <w:r>
        <w:t xml:space="preserve">is at least visibly wrong, and the same mechanism at milder decay</w:t>
      </w:r>
      <w:r>
        <w:t xml:space="preserve"> </w:t>
      </w:r>
      <w:r>
        <w:t xml:space="preserve">produces a number that is not.</w:t>
      </w:r>
    </w:p>
    <w:p>
      <w:pPr>
        <w:pStyle w:val="BodyText"/>
      </w:pPr>
      <w:r>
        <w:t xml:space="preserve">A phantom is now defined as an object of known composition imaged in place of a patient,</w:t>
      </w:r>
      <w:r>
        <w:t xml:space="preserve"> </w:t>
      </w:r>
      <w:r>
        <w:t xml:space="preserve">and a synthetic phantom as one existing only as an array of numbers, generated rather than</w:t>
      </w:r>
      <w:r>
        <w:t xml:space="preserve"> </w:t>
      </w:r>
      <w:r>
        <w:t xml:space="preserve">scanned, so that the answer is known analytically. The distinction carries weight</w:t>
      </w:r>
      <w:r>
        <w:t xml:space="preserve"> </w:t>
      </w:r>
      <w:r>
        <w:t xml:space="preserve">throughout the paper — a synthetic phantom supplies ground truth and a physical one does</w:t>
      </w:r>
      <w:r>
        <w:t xml:space="preserve"> </w:t>
      </w:r>
      <w:r>
        <w:t xml:space="preserve">not — so it is worth the sentence.</w:t>
      </w:r>
    </w:p>
    <w:p>
      <w:pPr>
        <w:pStyle w:val="BodyText"/>
      </w:pPr>
      <w:r>
        <w:rPr>
          <w:b/>
          <w:bCs/>
        </w:rPr>
        <w:t xml:space="preserve">2.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“severity”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“severity dial”</w:t>
      </w:r>
      <w:r>
        <w:rPr>
          <w:b/>
          <w:bCs/>
        </w:rPr>
        <w:t xml:space="preserve">. Is severity an exact parameter that can be</w:t>
      </w:r>
      <w:r>
        <w:rPr>
          <w:b/>
          <w:bCs/>
        </w:rPr>
        <w:t xml:space="preserve"> </w:t>
      </w:r>
      <w:r>
        <w:rPr>
          <w:b/>
          <w:bCs/>
        </w:rPr>
        <w:t xml:space="preserve">exactly evaluated, and how? Also explain</w:t>
      </w:r>
      <w:r>
        <w:rPr>
          <w:b/>
          <w:bCs/>
        </w:rPr>
        <w:t xml:space="preserve"> </w:t>
      </w:r>
      <w:r>
        <w:rPr>
          <w:b/>
          <w:bCs/>
        </w:rPr>
        <w:t xml:space="preserve">“omitted-sinc bias”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“floating-point</w:t>
      </w:r>
      <w:r>
        <w:rPr>
          <w:b/>
          <w:bCs/>
        </w:rPr>
        <w:t xml:space="preserve"> </w:t>
      </w:r>
      <w:r>
        <w:rPr>
          <w:b/>
          <w:bCs/>
        </w:rPr>
        <w:t xml:space="preserve">underflow”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Section 2.4 now says that severity is an exact parameter of the injection and not an</w:t>
      </w:r>
      <w:r>
        <w:t xml:space="preserve"> </w:t>
      </w:r>
      <w:r>
        <w:t xml:space="preserve">estimate of anything: it is the interpolation weight between the correct implementation and</w:t>
      </w:r>
      <w:r>
        <w:t xml:space="preserve"> </w:t>
      </w:r>
      <w:r>
        <w:t xml:space="preserve">the defective one, defined separately for each defect and computed rather than measured. A</w:t>
      </w:r>
      <w:r>
        <w:t xml:space="preserve"> </w:t>
      </w:r>
      <w:r>
        <w:t xml:space="preserve">severity dial is that parameter used as a continuous control, and the text now says why</w:t>
      </w:r>
      <w:r>
        <w:t xml:space="preserve"> </w:t>
      </w:r>
      <w:r>
        <w:t xml:space="preserve">that matters — a defect that is only present or absent gives one data point, whereas one</w:t>
      </w:r>
      <w:r>
        <w:t xml:space="preserve"> </w:t>
      </w:r>
      <w:r>
        <w:t xml:space="preserve">that can be turned up from nothing gives a curve, and the curve is where the comparison</w:t>
      </w:r>
      <w:r>
        <w:t xml:space="preserve"> </w:t>
      </w:r>
      <w:r>
        <w:t xml:space="preserve">between detection and materiality lives.</w:t>
      </w:r>
    </w:p>
    <w:p>
      <w:pPr>
        <w:pStyle w:val="BodyText"/>
      </w:pPr>
      <w:r>
        <w:t xml:space="preserve">Floating-point underflow is explained where it first appears, as above. The omitted-sinc</w:t>
      </w:r>
      <w:r>
        <w:t xml:space="preserve"> </w:t>
      </w:r>
      <w:r>
        <w:t xml:space="preserve">defect is defined by its formula in the same section: the bin-average and central-difference</w:t>
      </w:r>
      <w:r>
        <w:t xml:space="preserve"> </w:t>
      </w:r>
      <w:r>
        <w:t xml:space="preserve">transfer functions left in the MTF estimate,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b>
            <m:r>
              <m:t>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T</m:t>
        </m:r>
        <m:r>
          <m:rPr>
            <m:sty m:val="p"/>
          </m:rPr>
          <m:t>F</m:t>
        </m:r>
        <m:r>
          <m:rPr>
            <m:sty m:val="p"/>
          </m:rPr>
          <m:t>⋅</m:t>
        </m: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t>f</m:t>
        </m:r>
        <m:r>
          <m:t>h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t>2</m:t>
        </m:r>
        <m:r>
          <m:t>f</m:t>
        </m:r>
        <m:r>
          <m:t>h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α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Define the edge-spread and line-spread functions and how they are formed; clarify the</w:t>
      </w:r>
      <w:r>
        <w:rPr>
          <w:b/>
          <w:bCs/>
        </w:rPr>
        <w:t xml:space="preserve"> </w:t>
      </w:r>
      <w:r>
        <w:rPr>
          <w:b/>
          <w:bCs/>
        </w:rPr>
        <w:t xml:space="preserve">mean-detrending passage at lines 163–165.</w:t>
      </w:r>
    </w:p>
    <w:p>
      <w:pPr>
        <w:pStyle w:val="BodyText"/>
      </w:pPr>
      <w:r>
        <w:t xml:space="preserve">Both done. The ESF is now defined at first use as the mean profile across the edge obtained</w:t>
      </w:r>
      <w:r>
        <w:t xml:space="preserve"> </w:t>
      </w:r>
      <w:r>
        <w:t xml:space="preserve">by projecting every pixel onto the edge normal and binning far below the pixel pitch — which</w:t>
      </w:r>
      <w:r>
        <w:t xml:space="preserve"> </w:t>
      </w:r>
      <w:r>
        <w:t xml:space="preserve">is what the edge’s tilt buys — and the LSF as its central difference between adjacent bins.</w:t>
      </w:r>
    </w:p>
    <w:p>
      <w:pPr>
        <w:pStyle w:val="BodyText"/>
      </w:pPr>
      <w:r>
        <w:t xml:space="preserve">The detrending passage was genuinely confusing and has been rewritten. It now says that</w:t>
      </w:r>
      <w:r>
        <w:t xml:space="preserve"> </w:t>
      </w:r>
      <w:r>
        <w:t xml:space="preserve">subtracting the mean from each region of interest sets the zero-frequency component to zero</w:t>
      </w:r>
      <w:r>
        <w:t xml:space="preserve"> </w:t>
      </w:r>
      <w:r>
        <w:t xml:space="preserve">up to rounding, so the DC bin holds the residue of that subtraction rather than a</w:t>
      </w:r>
      <w:r>
        <w:t xml:space="preserve"> </w:t>
      </w:r>
      <w:r>
        <w:t xml:space="preserve">measurement; that including it would make the dynamic range enormous for any field, white</w:t>
      </w:r>
      <w:r>
        <w:t xml:space="preserve"> </w:t>
      </w:r>
      <w:r>
        <w:t xml:space="preserve">noise included; and that the exclusion is bookkeeping about how the estimator works, not a</w:t>
      </w:r>
      <w:r>
        <w:t xml:space="preserve"> </w:t>
      </w:r>
      <w:r>
        <w:t xml:space="preserve">claim about the spectrum.</w:t>
      </w:r>
    </w:p>
    <w:p>
      <w:pPr>
        <w:pStyle w:val="BodyText"/>
      </w:pPr>
      <w:r>
        <w:rPr>
          <w:b/>
          <w:bCs/>
        </w:rPr>
        <w:t xml:space="preserve">4. Define the</w:t>
      </w:r>
      <w:r>
        <w:rPr>
          <w:b/>
          <w:bCs/>
        </w:rPr>
        <w:t xml:space="preserve"> </w:t>
      </w:r>
      <w:r>
        <w:rPr>
          <w:b/>
          <w:bCs/>
        </w:rPr>
        <w:t xml:space="preserve">“bridge”</w:t>
      </w:r>
      <w:r>
        <w:rPr>
          <w:b/>
          <w:bCs/>
        </w:rPr>
        <w:t xml:space="preserve"> </w:t>
      </w:r>
      <w:r>
        <w:rPr>
          <w:b/>
          <w:bCs/>
        </w:rPr>
        <w:t xml:space="preserve">measure and give its mathematical expression; it is only mentioned</w:t>
      </w:r>
      <w:r>
        <w:rPr>
          <w:b/>
          <w:bCs/>
        </w:rPr>
        <w:t xml:space="preserve"> </w:t>
      </w:r>
      <w:r>
        <w:rPr>
          <w:b/>
          <w:bCs/>
        </w:rPr>
        <w:t xml:space="preserve">in Table 1.</w:t>
      </w:r>
    </w:p>
    <w:p>
      <w:pPr>
        <w:pStyle w:val="BodyText"/>
      </w:pPr>
      <w:r>
        <w:t xml:space="preserve">Section 2.2 now gives it in the text, as two displayed integrals —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 NEQ</w:t>
      </w:r>
      <w:r>
        <w:t xml:space="preserve"> </w:t>
      </w:r>
      <w:r>
        <w:t xml:space="preserve">against the object power spectrum, and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 the prewhitening observer — with the</w:t>
      </w:r>
      <w:r>
        <w:t xml:space="preserve"> </w:t>
      </w:r>
      <w:r>
        <w:t xml:space="preserve">check itself defined as the relative difference between them, and the observation that with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Q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N</m:t>
        </m:r>
        <m:r>
          <m:rPr>
            <m:sty m:val="p"/>
          </m:rPr>
          <m:t>P</m:t>
        </m:r>
        <m:r>
          <m:rPr>
            <m:sty m:val="p"/>
          </m:rPr>
          <m:t>S</m:t>
        </m:r>
      </m:oMath>
      <w:r>
        <w:t xml:space="preserve"> </w:t>
      </w:r>
      <w:r>
        <w:t xml:space="preserve">the two integrands are the same expression</w:t>
      </w:r>
      <w:r>
        <w:t xml:space="preserve"> </w:t>
      </w:r>
      <w:r>
        <w:t xml:space="preserve">rearranged, which is why it is an identity and not an approximation.</w:t>
      </w:r>
    </w:p>
    <w:p>
      <w:pPr>
        <w:pStyle w:val="BodyText"/>
      </w:pPr>
      <w:r>
        <w:rPr>
          <w:b/>
          <w:bCs/>
        </w:rPr>
        <w:t xml:space="preserve">5. Line 355,</w:t>
      </w:r>
      <w:r>
        <w:rPr>
          <w:b/>
          <w:bCs/>
        </w:rPr>
        <w:t xml:space="preserve"> </w:t>
      </w:r>
      <w:r>
        <w:rPr>
          <w:b/>
          <w:bCs/>
        </w:rPr>
        <w:t xml:space="preserve">“beyond which a prewhitening observer is refused”</w:t>
      </w:r>
      <w:r>
        <w:rPr>
          <w:b/>
          <w:bCs/>
        </w:rPr>
        <w:t xml:space="preserve">, is unclear.</w:t>
      </w:r>
    </w:p>
    <w:p>
      <w:pPr>
        <w:pStyle w:val="BodyText"/>
      </w:pPr>
      <w:r>
        <w:t xml:space="preserve">Rewritten to say what was meant:</w:t>
      </w:r>
      <w:r>
        <w:t xml:space="preserve"> </w:t>
      </w:r>
      <w:r>
        <w:rPr>
          <w:i/>
          <w:iCs/>
        </w:rPr>
        <w:t xml:space="preserve">the threshold beyond which a prewhitening observer should</w:t>
      </w:r>
      <w:r>
        <w:rPr>
          <w:i/>
          <w:iCs/>
        </w:rPr>
        <w:t xml:space="preserve"> </w:t>
      </w:r>
      <w:r>
        <w:rPr>
          <w:i/>
          <w:iCs/>
        </w:rPr>
        <w:t xml:space="preserve">return no value at all rather than a computed one, because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N</m:t>
        </m:r>
        <m:r>
          <m:rPr>
            <m:sty m:val="p"/>
          </m:rPr>
          <m:t>P</m:t>
        </m:r>
        <m:r>
          <m:rPr>
            <m:sty m:val="p"/>
          </m:rPr>
          <m:t>S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ceased to be</w:t>
      </w:r>
      <w:r>
        <w:rPr>
          <w:i/>
          <w:iCs/>
        </w:rPr>
        <w:t xml:space="preserve"> </w:t>
      </w:r>
      <w:r>
        <w:rPr>
          <w:i/>
          <w:iCs/>
        </w:rPr>
        <w:t xml:space="preserve">numerically meaningful.</w:t>
      </w:r>
    </w:p>
    <w:p>
      <w:pPr>
        <w:pStyle w:val="BodyText"/>
      </w:pPr>
      <w:r>
        <w:rPr>
          <w:b/>
          <w:bCs/>
        </w:rPr>
        <w:t xml:space="preserve">6. More detail about the Python implementation, specifically taskiq-core; and explain more</w:t>
      </w:r>
      <w:r>
        <w:rPr>
          <w:b/>
          <w:bCs/>
        </w:rPr>
        <w:t xml:space="preserve"> </w:t>
      </w:r>
      <w:r>
        <w:rPr>
          <w:b/>
          <w:bCs/>
        </w:rPr>
        <w:t xml:space="preserve">clearly how AI tools were used in</w:t>
      </w:r>
      <w:r>
        <w:rPr>
          <w:b/>
          <w:bCs/>
        </w:rPr>
        <w:t xml:space="preserve"> </w:t>
      </w:r>
      <w:r>
        <w:rPr>
          <w:b/>
          <w:bCs/>
        </w:rPr>
        <w:t xml:space="preserve">“code scaffolding and refactoring”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The implementation now has a section of its own (2.7): a pure-Python package on NumPy and</w:t>
      </w:r>
      <w:r>
        <w:t xml:space="preserve"> </w:t>
      </w:r>
      <w:r>
        <w:t xml:space="preserve">SciPy, containing no DICOM handling and no patient data by design — which is what allows</w:t>
      </w:r>
      <w:r>
        <w:t xml:space="preserve"> </w:t>
      </w:r>
      <w:r>
        <w:t xml:space="preserve">every quantity in it to be checked against a closed form — the injection study as a single</w:t>
      </w:r>
      <w:r>
        <w:t xml:space="preserve"> </w:t>
      </w:r>
      <w:r>
        <w:t xml:space="preserve">script importing the library unmodified, and the test matrix.</w:t>
      </w:r>
    </w:p>
    <w:p>
      <w:pPr>
        <w:pStyle w:val="BodyText"/>
      </w:pPr>
      <w:r>
        <w:t xml:space="preserve">The second half of your comment was the more important one, and acting on it produced a</w:t>
      </w:r>
      <w:r>
        <w:t xml:space="preserve"> </w:t>
      </w:r>
      <w:r>
        <w:t xml:space="preserve">correction I would not otherwise have made.</w:t>
      </w:r>
      <w:r>
        <w:t xml:space="preserve"> </w:t>
      </w:r>
      <w:r>
        <w:rPr>
          <w:b/>
          <w:bCs/>
        </w:rPr>
        <w:t xml:space="preserve">The reconstruction of real projection data is</w:t>
      </w:r>
      <w:r>
        <w:rPr>
          <w:b/>
          <w:bCs/>
        </w:rPr>
        <w:t xml:space="preserve"> </w:t>
      </w:r>
      <w:r>
        <w:rPr>
          <w:b/>
          <w:bCs/>
        </w:rPr>
        <w:t xml:space="preserve">not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taskiq-core</w:t>
      </w:r>
      <w:r>
        <w:rPr>
          <w:b/>
          <w:bCs/>
        </w:rPr>
        <w:t xml:space="preserve"> </w:t>
      </w:r>
      <w:r>
        <w:rPr>
          <w:b/>
          <w:bCs/>
        </w:rPr>
        <w:t xml:space="preserve">at all.</w:t>
      </w:r>
      <w:r>
        <w:t xml:space="preserve"> </w:t>
      </w:r>
      <w:r>
        <w:t xml:space="preserve">It is in a second package,</w:t>
      </w:r>
      <w:r>
        <w:t xml:space="preserve"> </w:t>
      </w:r>
      <w:r>
        <w:rPr>
          <w:rStyle w:val="VerbatimChar"/>
        </w:rPr>
        <w:t xml:space="preserve">ldct-io</w:t>
      </w:r>
      <w:r>
        <w:t xml:space="preserve">, which the submitted</w:t>
      </w:r>
      <w:r>
        <w:t xml:space="preserve"> </w:t>
      </w:r>
      <w:r>
        <w:t xml:space="preserve">manuscript did not cite and which was not published. Please see</w:t>
      </w:r>
      <w:r>
        <w:t xml:space="preserve"> </w:t>
      </w:r>
      <w:r>
        <w:rPr>
          <w:i/>
          <w:iCs/>
        </w:rPr>
        <w:t xml:space="preserve">Corrections not prompted by</w:t>
      </w:r>
      <w:r>
        <w:rPr>
          <w:i/>
          <w:iCs/>
        </w:rPr>
        <w:t xml:space="preserve"> </w:t>
      </w:r>
      <w:r>
        <w:rPr>
          <w:i/>
          <w:iCs/>
        </w:rPr>
        <w:t xml:space="preserve">a comment</w:t>
      </w:r>
      <w:r>
        <w:t xml:space="preserve">, below.</w:t>
      </w:r>
    </w:p>
    <w:p>
      <w:pPr>
        <w:pStyle w:val="BodyText"/>
      </w:pPr>
      <w:r>
        <w:t xml:space="preserve">The AI disclosure (now Section 2.8) has been made specific rather than reassuring. It states</w:t>
      </w:r>
      <w:r>
        <w:t xml:space="preserve"> </w:t>
      </w:r>
      <w:r>
        <w:t xml:space="preserve">what the model drafted — initial versions of the estimator, phantom and test code, the</w:t>
      </w:r>
      <w:r>
        <w:t xml:space="preserve"> </w:t>
      </w:r>
      <w:r>
        <w:t xml:space="preserve">figure and study scripts, refactoring, and manuscript text — and what it did not do: it did</w:t>
      </w:r>
      <w:r>
        <w:t xml:space="preserve"> </w:t>
      </w:r>
      <w:r>
        <w:t xml:space="preserve">not choose which defects to inject, set any tolerance, or decide what the results mean.</w:t>
      </w:r>
    </w:p>
    <w:p>
      <w:pPr>
        <w:pStyle w:val="BodyText"/>
      </w:pPr>
      <w:r>
        <w:t xml:space="preserve">It also states a fact that belongs in this paper more than in most:</w:t>
      </w:r>
      <w:r>
        <w:t xml:space="preserve"> </w:t>
      </w:r>
      <w:r>
        <w:rPr>
          <w:b/>
          <w:bCs/>
        </w:rPr>
        <w:t xml:space="preserve">three of the six</w:t>
      </w:r>
      <w:r>
        <w:rPr>
          <w:b/>
          <w:bCs/>
        </w:rPr>
        <w:t xml:space="preserve"> </w:t>
      </w:r>
      <w:r>
        <w:rPr>
          <w:b/>
          <w:bCs/>
        </w:rPr>
        <w:t xml:space="preserve">defects studied were not invented for the experiment.</w:t>
      </w:r>
      <w:r>
        <w:t xml:space="preserve"> </w:t>
      </w:r>
      <w:r>
        <w:t xml:space="preserve">They were real errors in drafted</w:t>
      </w:r>
      <w:r>
        <w:t xml:space="preserve"> </w:t>
      </w:r>
      <w:r>
        <w:t xml:space="preserve">code — the bin-centre position error, the radially-blurred disk, and the missing noise floor</w:t>
      </w:r>
      <w:r>
        <w:t xml:space="preserve"> </w:t>
      </w:r>
      <w:r>
        <w:t xml:space="preserve">— found by the closed-form checks described here and only then turned into controlled</w:t>
      </w:r>
      <w:r>
        <w:t xml:space="preserve"> </w:t>
      </w:r>
      <w:r>
        <w:t xml:space="preserve">injections. The checks were the means by which the assistance was verified, which is this</w:t>
      </w:r>
      <w:r>
        <w:t xml:space="preserve"> </w:t>
      </w:r>
      <w:r>
        <w:t xml:space="preserve">paper’s argument applied to its own production.</w:t>
      </w:r>
    </w:p>
    <w:p>
      <w:pPr>
        <w:pStyle w:val="BodyText"/>
      </w:pPr>
      <w:r>
        <w:rPr>
          <w:b/>
          <w:bCs/>
        </w:rPr>
        <w:t xml:space="preserve">7. Grammar, line 287:</w:t>
      </w:r>
      <w:r>
        <w:rPr>
          <w:b/>
          <w:bCs/>
        </w:rPr>
        <w:t xml:space="preserve"> </w:t>
      </w:r>
      <w:r>
        <w:rPr>
          <w:b/>
          <w:bCs/>
        </w:rPr>
        <w:t xml:space="preserve">“throughout”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“throughout the interval”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Corrected; the sentence now reads</w:t>
      </w:r>
      <w:r>
        <w:t xml:space="preserve"> </w:t>
      </w:r>
      <w:r>
        <w:t xml:space="preserve">“the same estimators used throughout the study”</w:t>
      </w:r>
      <w:r>
        <w:t xml:space="preserve">, which is</w:t>
      </w:r>
      <w:r>
        <w:t xml:space="preserve"> </w:t>
      </w:r>
      <w:r>
        <w:t xml:space="preserve">what was meant there.</w:t>
      </w:r>
    </w:p>
    <w:p>
      <w:pPr>
        <w:pStyle w:val="BodyText"/>
      </w:pPr>
      <w:r>
        <w:rPr>
          <w:b/>
          <w:bCs/>
        </w:rPr>
        <w:t xml:space="preserve">8. Two suggested references.</w:t>
      </w:r>
    </w:p>
    <w:p>
      <w:pPr>
        <w:pStyle w:val="BodyText"/>
      </w:pPr>
      <w:r>
        <w:t xml:space="preserve">Thank you for both. I have taken one and, following the editorial checklist’s instruction</w:t>
      </w:r>
      <w:r>
        <w:t xml:space="preserve"> </w:t>
      </w:r>
      <w:r>
        <w:t xml:space="preserve">to assess suggested references critically, declined the other with a reason.</w:t>
      </w:r>
    </w:p>
    <w:p>
      <w:pPr>
        <w:pStyle w:val="BodyText"/>
      </w:pPr>
      <w:r>
        <w:rPr>
          <w:b/>
          <w:bCs/>
        </w:rPr>
        <w:t xml:space="preserve">Taken.</w:t>
      </w:r>
      <w:r>
        <w:t xml:space="preserve"> </w:t>
      </w:r>
      <w:r>
        <w:t xml:space="preserve">Song K-H, Shan C, Xu G, et al.,</w:t>
      </w:r>
      <w:r>
        <w:t xml:space="preserve"> </w:t>
      </w:r>
      <w:r>
        <w:rPr>
          <w:i/>
          <w:iCs/>
        </w:rPr>
        <w:t xml:space="preserve">Phantom evaluation of small-pixel effect in</w:t>
      </w:r>
      <w:r>
        <w:rPr>
          <w:i/>
          <w:iCs/>
        </w:rPr>
        <w:t xml:space="preserve"> </w:t>
      </w:r>
      <w:r>
        <w:rPr>
          <w:i/>
          <w:iCs/>
        </w:rPr>
        <w:t xml:space="preserve">ultra-high-resolution photon-counting CT</w:t>
      </w:r>
      <w:r>
        <w:t xml:space="preserve"> </w:t>
      </w:r>
      <w:r>
        <w:t xml:space="preserve">(J Appl Clin Med Phys 2026;27:e70776), now</w:t>
      </w:r>
      <w:r>
        <w:t xml:space="preserve"> </w:t>
      </w:r>
      <w:r>
        <w:t xml:space="preserve">reference [21]. It is directly relevant: it reports noise texture and high-contrast</w:t>
      </w:r>
      <w:r>
        <w:t xml:space="preserve"> </w:t>
      </w:r>
      <w:r>
        <w:t xml:space="preserve">resolution as the paired quantities a change of pixel size moves, which is the same coupling</w:t>
      </w:r>
      <w:r>
        <w:t xml:space="preserve"> </w:t>
      </w:r>
      <w:r>
        <w:t xml:space="preserve">this paper observes under a change of reconstruction kernel. It is cited in Section 3.7</w:t>
      </w:r>
      <w:r>
        <w:t xml:space="preserve"> </w:t>
      </w:r>
      <w:r>
        <w:t xml:space="preserve">where that coupling is discussed, and used to make the point that the checks are stated on</w:t>
      </w:r>
      <w:r>
        <w:t xml:space="preserve"> </w:t>
      </w:r>
      <w:r>
        <w:t xml:space="preserve">those quantities rather than on any particular detector.</w:t>
      </w:r>
    </w:p>
    <w:p>
      <w:pPr>
        <w:pStyle w:val="BodyText"/>
      </w:pPr>
      <w:r>
        <w:rPr>
          <w:b/>
          <w:bCs/>
        </w:rPr>
        <w:t xml:space="preserve">Declined.</w:t>
      </w:r>
      <w:r>
        <w:t xml:space="preserve"> </w:t>
      </w:r>
      <w:r>
        <w:t xml:space="preserve">Kline A, Gaonkar A, Pittman D, et al.,</w:t>
      </w:r>
      <w:r>
        <w:t xml:space="preserve"> </w:t>
      </w:r>
      <w:r>
        <w:rPr>
          <w:i/>
          <w:iCs/>
        </w:rPr>
        <w:t xml:space="preserve">From Redaction to Restoration: Deep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for Medical Image Deidentification and Reconstruction</w:t>
      </w:r>
      <w:r>
        <w:t xml:space="preserve"> </w:t>
      </w:r>
      <w:r>
        <w:t xml:space="preserve">(J Digit Imaging Inform Med</w:t>
      </w:r>
      <w:r>
        <w:t xml:space="preserve"> </w:t>
      </w:r>
      <w:r>
        <w:t xml:space="preserve">2026). I read it and could not find a place where it would inform this manuscript’s</w:t>
      </w:r>
      <w:r>
        <w:t xml:space="preserve"> </w:t>
      </w:r>
      <w:r>
        <w:t xml:space="preserve">argument: it concerns de-identification and restoration of medical images, whereas this</w:t>
      </w:r>
      <w:r>
        <w:t xml:space="preserve"> </w:t>
      </w:r>
      <w:r>
        <w:t xml:space="preserve">paper is about implementation errors in physical and observer estimators and how they are</w:t>
      </w:r>
      <w:r>
        <w:t xml:space="preserve"> </w:t>
      </w:r>
      <w:r>
        <w:t xml:space="preserve">detected. Citing it would add a reference the text does not use. I would of course include</w:t>
      </w:r>
      <w:r>
        <w:t xml:space="preserve"> </w:t>
      </w:r>
      <w:r>
        <w:t xml:space="preserve">it if you see a connection I have missed.</w:t>
      </w:r>
    </w:p>
    <w:p>
      <w:pPr>
        <w:pStyle w:val="BodyText"/>
      </w:pPr>
      <w:r>
        <w:rPr>
          <w:b/>
          <w:bCs/>
        </w:rPr>
        <w:t xml:space="preserve">9. Inline expressions and numerical values should be the same size as the text.</w:t>
      </w:r>
    </w:p>
    <w:p>
      <w:pPr>
        <w:pStyle w:val="BodyText"/>
      </w:pPr>
      <w:r>
        <w:t xml:space="preserve">Corrected throughout. Inline mathematics is now set inline rather than as display</w:t>
      </w:r>
      <w:r>
        <w:t xml:space="preserve"> </w:t>
      </w:r>
      <w:r>
        <w:t xml:space="preserve">mathematics, including the paragraph between lines 121 and 132 that you identified, and the</w:t>
      </w:r>
      <w:r>
        <w:t xml:space="preserve"> </w:t>
      </w:r>
      <w:r>
        <w:t xml:space="preserve">whole text was checked for the same problem.</w:t>
      </w:r>
    </w:p>
    <w:p>
      <w:r>
        <w:pict>
          <v:rect style="width:0;height:1.5pt" o:hralign="center" o:hrstd="t" o:hr="t"/>
        </w:pict>
      </w:r>
    </w:p>
    <w:bookmarkEnd w:id="10"/>
    <w:bookmarkStart w:id="12" w:name="corrections-not-prompted-by-a-comment"/>
    <w:p>
      <w:pPr>
        <w:pStyle w:val="Heading2"/>
      </w:pPr>
      <w:r>
        <w:t xml:space="preserve">Corrections not prompted by a comment</w:t>
      </w:r>
    </w:p>
    <w:p>
      <w:pPr>
        <w:pStyle w:val="FirstParagraph"/>
      </w:pPr>
      <w:r>
        <w:t xml:space="preserve">Two things were found while acting on the comments above. Both were wrong in the submitted</w:t>
      </w:r>
      <w:r>
        <w:t xml:space="preserve"> </w:t>
      </w:r>
      <w:r>
        <w:t xml:space="preserve">manuscript, and I would rather report them than let them pass.</w:t>
      </w:r>
    </w:p>
    <w:p>
      <w:pPr>
        <w:pStyle w:val="BodyText"/>
      </w:pPr>
      <w:r>
        <w:rPr>
          <w:b/>
          <w:bCs/>
        </w:rPr>
        <w:t xml:space="preserve">1. The Data Availability Statement was false, and the code it omitted is now published.</w:t>
      </w:r>
    </w:p>
    <w:p>
      <w:pPr>
        <w:pStyle w:val="BodyText"/>
      </w:pPr>
      <w:r>
        <w:t xml:space="preserve">The submitted statement said that all the code is at</w:t>
      </w:r>
      <w:r>
        <w:t xml:space="preserve"> </w:t>
      </w:r>
      <w:r>
        <w:rPr>
          <w:rStyle w:val="VerbatimChar"/>
        </w:rPr>
        <w:t xml:space="preserve">taskiq-core</w:t>
      </w:r>
      <w:r>
        <w:t xml:space="preserve"> </w:t>
      </w:r>
      <w:r>
        <w:t xml:space="preserve">and that every number is</w:t>
      </w:r>
      <w:r>
        <w:t xml:space="preserve"> </w:t>
      </w:r>
      <w:r>
        <w:t xml:space="preserve">written by the scripts producing the figures. That is true of the synthetic arm and false of</w:t>
      </w:r>
      <w:r>
        <w:t xml:space="preserve"> </w:t>
      </w:r>
      <w:r>
        <w:t xml:space="preserve">the real-scanner arm. Tables 3 and 4, Figure 5 and Sections 2.6 to 3.8 are produced by</w:t>
      </w:r>
      <w:r>
        <w:t xml:space="preserve"> </w:t>
      </w:r>
      <w:r>
        <w:rPr>
          <w:rStyle w:val="VerbatimChar"/>
        </w:rPr>
        <w:t xml:space="preserve">examples/acr_atlas.py</w:t>
      </w:r>
      <w:r>
        <w:t xml:space="preserve"> </w:t>
      </w:r>
      <w:r>
        <w:t xml:space="preserve">in a second package,</w:t>
      </w:r>
      <w:r>
        <w:t xml:space="preserve"> </w:t>
      </w:r>
      <w:r>
        <w:rPr>
          <w:rStyle w:val="VerbatimChar"/>
        </w:rPr>
        <w:t xml:space="preserve">ldct-io</w:t>
      </w:r>
      <w:r>
        <w:t xml:space="preserve">, which supplies the DICOM-CT-PD</w:t>
      </w:r>
      <w:r>
        <w:t xml:space="preserve"> </w:t>
      </w:r>
      <w:r>
        <w:t xml:space="preserve">reading, the single-slice rebinning and the filtered backprojection. That package was not</w:t>
      </w:r>
      <w:r>
        <w:t xml:space="preserve"> </w:t>
      </w:r>
      <w:r>
        <w:t xml:space="preserve">cited and had never been published.</w:t>
      </w:r>
    </w:p>
    <w:p>
      <w:pPr>
        <w:pStyle w:val="BodyText"/>
      </w:pPr>
      <w:r>
        <w:t xml:space="preserve">For a paper whose argument is that a result you cannot re-derive is a result you cannot</w:t>
      </w:r>
      <w:r>
        <w:t xml:space="preserve"> </w:t>
      </w:r>
      <w:r>
        <w:t xml:space="preserve">check, this was not a citation slip. It has been fixed at the source rather than in the</w:t>
      </w:r>
      <w:r>
        <w:t xml:space="preserve"> </w:t>
      </w:r>
      <w:r>
        <w:t xml:space="preserve">wording: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ldct-io</w:t>
      </w:r>
      <w:r>
        <w:rPr>
          <w:b/>
          <w:bCs/>
        </w:rPr>
        <w:t xml:space="preserve"> </w:t>
      </w:r>
      <w:r>
        <w:rPr>
          <w:b/>
          <w:bCs/>
        </w:rPr>
        <w:t xml:space="preserve">is now public</w:t>
      </w:r>
      <w:r>
        <w:t xml:space="preserve"> </w:t>
      </w:r>
      <w:r>
        <w:t xml:space="preserve">at</w:t>
      </w:r>
      <w:r>
        <w:t xml:space="preserve"> </w:t>
      </w:r>
      <w:hyperlink r:id="rId11">
        <w:r>
          <w:rPr>
            <w:rStyle w:val="Hyperlink"/>
          </w:rPr>
          <w:t xml:space="preserve">https://github.com/Institute-of-One/ldct-io</w:t>
        </w:r>
      </w:hyperlink>
      <w:r>
        <w:t xml:space="preserve"> </w:t>
      </w:r>
      <w:r>
        <w:t xml:space="preserve">under the MIT</w:t>
      </w:r>
      <w:r>
        <w:t xml:space="preserve"> </w:t>
      </w:r>
      <w:r>
        <w:t xml:space="preserve">licence, with 60 passing tests, continuous integration, and its reconstruction validated</w:t>
      </w:r>
      <w:r>
        <w:t xml:space="preserve"> </w:t>
      </w:r>
      <w:r>
        <w:t xml:space="preserve">against closed-form answers rather than against a stored output of itself;</w:t>
      </w:r>
    </w:p>
    <w:p>
      <w:pPr>
        <w:pStyle w:val="Compact"/>
        <w:numPr>
          <w:ilvl w:val="0"/>
          <w:numId w:val="1002"/>
        </w:numPr>
      </w:pPr>
      <w:r>
        <w:t xml:space="preserve">five example scripts had a single machine’s archive path hard-coded, which would have left</w:t>
      </w:r>
      <w:r>
        <w:t xml:space="preserve"> </w:t>
      </w:r>
      <w:r>
        <w:t xml:space="preserve">a reader unable to run any of them; the location now comes from an environment variable;</w:t>
      </w:r>
    </w:p>
    <w:p>
      <w:pPr>
        <w:pStyle w:val="Compact"/>
        <w:numPr>
          <w:ilvl w:val="0"/>
          <w:numId w:val="1002"/>
        </w:numPr>
      </w:pPr>
      <w:r>
        <w:t xml:space="preserve">the Data Availability Statement now says which half of the work lives where, and states</w:t>
      </w:r>
      <w:r>
        <w:t xml:space="preserve"> </w:t>
      </w:r>
      <w:r>
        <w:t xml:space="preserve">plainly that</w:t>
      </w:r>
      <w:r>
        <w:t xml:space="preserve"> </w:t>
      </w:r>
      <w:r>
        <w:rPr>
          <w:b/>
          <w:bCs/>
        </w:rPr>
        <w:t xml:space="preserve">neither package reproduces the atlas alone.</w:t>
      </w:r>
    </w:p>
    <w:p>
      <w:pPr>
        <w:pStyle w:val="FirstParagraph"/>
      </w:pPr>
      <w:r>
        <w:rPr>
          <w:b/>
          <w:bCs/>
        </w:rPr>
        <w:t xml:space="preserve">2. The affiliation has been corrected to the form the author’s other papers carry.</w:t>
      </w:r>
    </w:p>
    <w:p>
      <w:pPr>
        <w:pStyle w:val="BodyText"/>
      </w:pPr>
      <w:r>
        <w:t xml:space="preserve">The submitted manuscript omitted the postal code, and the author record entered in the</w:t>
      </w:r>
      <w:r>
        <w:t xml:space="preserve"> </w:t>
      </w:r>
      <w:r>
        <w:t xml:space="preserve">submission system also reads</w:t>
      </w:r>
      <w:r>
        <w:t xml:space="preserve"> </w:t>
      </w:r>
      <w:r>
        <w:t xml:space="preserve">“Institute of one, LISIT, Co., Ltd.”</w:t>
      </w:r>
      <w:r>
        <w:t xml:space="preserve"> </w:t>
      </w:r>
      <w:r>
        <w:t xml:space="preserve">The correct and</w:t>
      </w:r>
      <w:r>
        <w:t xml:space="preserve"> </w:t>
      </w:r>
      <w:r>
        <w:t xml:space="preserve">consistent form, as carried by this author’s papers in</w:t>
      </w:r>
      <w:r>
        <w:t xml:space="preserve"> </w:t>
      </w:r>
      <w:r>
        <w:rPr>
          <w:i/>
          <w:iCs/>
        </w:rPr>
        <w:t xml:space="preserve">Journal of Imaging</w:t>
      </w:r>
      <w:r>
        <w:t xml:space="preserve"> </w:t>
      </w:r>
      <w:r>
        <w:t xml:space="preserve">(12(8):392,</w:t>
      </w:r>
      <w:r>
        <w:t xml:space="preserve"> </w:t>
      </w:r>
      <w:r>
        <w:t xml:space="preserve">2026) and</w:t>
      </w:r>
      <w:r>
        <w:t xml:space="preserve"> </w:t>
      </w:r>
      <w:r>
        <w:rPr>
          <w:i/>
          <w:iCs/>
        </w:rPr>
        <w:t xml:space="preserve">Tomography</w:t>
      </w:r>
      <w:r>
        <w:t xml:space="preserve"> </w:t>
      </w:r>
      <w:r>
        <w:t xml:space="preserve">(12(9):125, 2026), is:</w:t>
      </w:r>
    </w:p>
    <w:p>
      <w:pPr>
        <w:pStyle w:val="BlockText"/>
      </w:pPr>
      <w:r>
        <w:t xml:space="preserve">Institute of One, LISIT Co., Ltd., Tokyo 150-0044, Japan</w:t>
      </w:r>
    </w:p>
    <w:p>
      <w:pPr>
        <w:pStyle w:val="FirstParagraph"/>
      </w:pPr>
      <w:r>
        <w:t xml:space="preserve">The manuscript is corrected.</w:t>
      </w:r>
      <w:r>
        <w:t xml:space="preserve"> </w:t>
      </w:r>
      <w:r>
        <w:rPr>
          <w:b/>
          <w:bCs/>
        </w:rPr>
        <w:t xml:space="preserve">I would be grateful if the author record in the submission</w:t>
      </w:r>
      <w:r>
        <w:rPr>
          <w:b/>
          <w:bCs/>
        </w:rPr>
        <w:t xml:space="preserve"> </w:t>
      </w:r>
      <w:r>
        <w:rPr>
          <w:b/>
          <w:bCs/>
        </w:rPr>
        <w:t xml:space="preserve">system could be corrected to match</w:t>
      </w:r>
      <w:r>
        <w:t xml:space="preserve">, as I do not appear to be able to edit it at this</w:t>
      </w:r>
      <w:r>
        <w:t xml:space="preserve"> </w:t>
      </w:r>
      <w:r>
        <w:t xml:space="preserve">stage.</w:t>
      </w:r>
    </w:p>
    <w:p>
      <w:r>
        <w:pict>
          <v:rect style="width:0;height:1.5pt" o:hralign="center" o:hrstd="t" o:hr="t"/>
        </w:pict>
      </w:r>
    </w:p>
    <w:bookmarkEnd w:id="12"/>
    <w:bookmarkStart w:id="13" w:name="english-language"/>
    <w:p>
      <w:pPr>
        <w:pStyle w:val="Heading2"/>
      </w:pPr>
      <w:r>
        <w:t xml:space="preserve">English language</w:t>
      </w:r>
    </w:p>
    <w:p>
      <w:pPr>
        <w:pStyle w:val="FirstParagraph"/>
      </w:pPr>
      <w:r>
        <w:t xml:space="preserve">Reviewer 1 marked the English as improvable and Reviewer 2 as not requiring improvement. I</w:t>
      </w:r>
      <w:r>
        <w:t xml:space="preserve"> </w:t>
      </w:r>
      <w:r>
        <w:t xml:space="preserve">have taken the first at face value: the whole manuscript has been reread for clarity, and</w:t>
      </w:r>
      <w:r>
        <w:t xml:space="preserve"> </w:t>
      </w:r>
      <w:r>
        <w:t xml:space="preserve">the passages Reviewer 2 identified as confusing — the detrending explanation, the</w:t>
      </w:r>
      <w:r>
        <w:t xml:space="preserve"> </w:t>
      </w:r>
      <w:r>
        <w:t xml:space="preserve">“refused”</w:t>
      </w:r>
      <w:r>
        <w:t xml:space="preserve"> </w:t>
      </w:r>
      <w:r>
        <w:t xml:space="preserve">sentence, and the definitions of severity, ESF, LSF and bridge — were the places where the</w:t>
      </w:r>
      <w:r>
        <w:t xml:space="preserve"> </w:t>
      </w:r>
      <w:r>
        <w:t xml:space="preserve">writing was in fact doing the least work. Those are rewritten rather than merely polished.</w:t>
      </w:r>
    </w:p>
    <w:p>
      <w:pPr>
        <w:pStyle w:val="BodyText"/>
      </w:pPr>
      <w:r>
        <w:t xml:space="preserve">Thank you both for reviews that improved the paper, and in two places corrected it.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Shuji Yamamoto</w:t>
      </w:r>
      <w:r>
        <w:t xml:space="preserve"> </w:t>
      </w:r>
      <w:r>
        <w:t xml:space="preserve">Institute of One, LISIT Co., Ltd., Tokyo 150-0044, Japan</w:t>
      </w:r>
      <w:r>
        <w:t xml:space="preserve"> </w:t>
      </w:r>
      <w:r>
        <w:t xml:space="preserve">ORCID 0000-0001-9211-1071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Institute-of-One/ldct-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Institute-of-One/ldct-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2026-09-07T07:14:56Z</dcterms:created>
  <dcterms:modified xsi:type="dcterms:W3CDTF">2026-09-07T07:14:56Z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