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80"/>
        <w:jc w:val="center"/>
        <w:rPr/>
      </w:pPr>
      <w:r>
        <w:rPr>
          <w:rFonts w:eastAsia="Arial" w:cs="Arial"/>
          <w:b/>
          <w:bCs/>
          <w:color w:val="1F4E79"/>
          <w:sz w:val="36"/>
          <w:szCs w:val="36"/>
        </w:rPr>
        <w:t>DOCUMENTO DE ALCANCE DE PROYECTO</w:t>
      </w:r>
    </w:p>
    <w:p>
      <w:pPr>
        <w:pStyle w:val="Normal"/>
        <w:spacing w:before="0" w:after="80"/>
        <w:jc w:val="center"/>
        <w:rPr/>
      </w:pPr>
      <w:r>
        <w:rPr>
          <w:rFonts w:eastAsia="Arial" w:cs="Arial"/>
          <w:color w:val="2E75B6"/>
          <w:sz w:val="28"/>
          <w:szCs w:val="28"/>
        </w:rPr>
        <w:t>Sistema de Inscripciones a Materias y Gestión de Notas</w:t>
      </w:r>
    </w:p>
    <w:p>
      <w:pPr>
        <w:pStyle w:val="Normal"/>
        <w:spacing w:before="0" w:after="480"/>
        <w:jc w:val="center"/>
        <w:rPr/>
      </w:pPr>
      <w:r>
        <w:rPr>
          <w:rFonts w:eastAsia="Arial" w:cs="Arial"/>
          <w:i/>
          <w:iCs/>
          <w:color w:val="595959"/>
          <w:sz w:val="22"/>
          <w:szCs w:val="22"/>
        </w:rPr>
        <w:t>Universidad · Versión 1.0 · Marzo 2026</w:t>
      </w:r>
    </w:p>
    <w:tbl>
      <w:tblPr>
        <w:tblW w:w="9360" w:type="dxa"/>
        <w:jc w:val="left"/>
        <w:tblInd w:w="0" w:type="dxa"/>
        <w:tblLayout w:type="fixed"/>
        <w:tblCellMar>
          <w:top w:w="80" w:type="dxa"/>
          <w:left w:w="120" w:type="dxa"/>
          <w:bottom w:w="80" w:type="dxa"/>
          <w:right w:w="120" w:type="dxa"/>
        </w:tblCellMar>
      </w:tblPr>
      <w:tblGrid>
        <w:gridCol w:w="3119"/>
        <w:gridCol w:w="6240"/>
      </w:tblGrid>
      <w:tr>
        <w:trPr/>
        <w:tc>
          <w:tcPr>
            <w:tcW w:w="311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1"/>
                <w:szCs w:val="21"/>
              </w:rPr>
              <w:t>Campo</w:t>
            </w:r>
          </w:p>
        </w:tc>
        <w:tc>
          <w:tcPr>
            <w:tcW w:w="624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1"/>
                <w:szCs w:val="21"/>
              </w:rPr>
              <w:t>Detalle</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1"/>
                <w:szCs w:val="21"/>
              </w:rPr>
              <w:t>Solicitante</w:t>
            </w:r>
          </w:p>
        </w:tc>
        <w:tc>
          <w:tcPr>
            <w:tcW w:w="62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1"/>
                <w:szCs w:val="21"/>
              </w:rPr>
              <w:t>Decanato — Universidad</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1"/>
                <w:szCs w:val="21"/>
              </w:rPr>
              <w:t>Versión</w:t>
            </w:r>
          </w:p>
        </w:tc>
        <w:tc>
          <w:tcPr>
            <w:tcW w:w="62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1"/>
                <w:szCs w:val="21"/>
              </w:rPr>
              <w:t>1.0 — Incluye stack tecnológico definido</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1"/>
                <w:szCs w:val="21"/>
              </w:rPr>
              <w:t>Fecha</w:t>
            </w:r>
          </w:p>
        </w:tc>
        <w:tc>
          <w:tcPr>
            <w:tcW w:w="62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1"/>
                <w:szCs w:val="21"/>
              </w:rPr>
              <w:t>Marzo 2026</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1"/>
                <w:szCs w:val="21"/>
              </w:rPr>
              <w:t>Stack técnico</w:t>
            </w:r>
          </w:p>
        </w:tc>
        <w:tc>
          <w:tcPr>
            <w:tcW w:w="62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1"/>
                <w:szCs w:val="21"/>
              </w:rPr>
              <w:t>Java/Spring Boot · React/TS · MySQL</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1"/>
                <w:szCs w:val="21"/>
              </w:rPr>
              <w:t>Estado</w:t>
            </w:r>
          </w:p>
        </w:tc>
        <w:tc>
          <w:tcPr>
            <w:tcW w:w="62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333333"/>
                <w:sz w:val="21"/>
                <w:szCs w:val="21"/>
              </w:rPr>
              <w:t>Pendiente de aprobación</w:t>
            </w:r>
          </w:p>
        </w:tc>
      </w:tr>
    </w:tbl>
    <w:p>
      <w:pPr>
        <w:pStyle w:val="Normal"/>
        <w:spacing w:before="100" w:after="10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FF8E1" w:val="clear"/>
          </w:tcPr>
          <w:p>
            <w:pPr>
              <w:pStyle w:val="Normal"/>
              <w:spacing w:before="0" w:after="60"/>
              <w:rPr/>
            </w:pPr>
            <w:r>
              <w:rPr>
                <w:rFonts w:eastAsia="Arial" w:cs="Arial"/>
                <w:b/>
                <w:bCs/>
                <w:color w:val="7B4A14"/>
                <w:sz w:val="22"/>
                <w:szCs w:val="22"/>
              </w:rPr>
              <w:t xml:space="preserve">⚠️  </w:t>
            </w:r>
            <w:r>
              <w:rPr>
                <w:rFonts w:eastAsia="Arial" w:cs="Arial"/>
                <w:b/>
                <w:bCs/>
                <w:color w:val="7B4A14"/>
                <w:sz w:val="22"/>
                <w:szCs w:val="22"/>
              </w:rPr>
              <w:t>Nota importante</w:t>
            </w:r>
          </w:p>
          <w:p>
            <w:pPr>
              <w:pStyle w:val="Normal"/>
              <w:spacing w:before="0" w:after="0"/>
              <w:rPr/>
            </w:pPr>
            <w:r>
              <w:rPr>
                <w:rFonts w:eastAsia="Arial" w:cs="Arial"/>
                <w:color w:val="333333"/>
                <w:sz w:val="21"/>
                <w:szCs w:val="21"/>
              </w:rPr>
              <w:t xml:space="preserve">El requerimiento original incluye cuatro solicitudes. Dos se implementan tal como se pidieron. Una se reformula con alternativa técnica equivalente. Una queda fuera del alcance por razones legales y éticas detalladas en la sección </w:t>
            </w:r>
            <w:r>
              <w:rPr>
                <w:rFonts w:eastAsia="Arial" w:cs="Arial"/>
                <w:color w:val="333333"/>
                <w:sz w:val="21"/>
                <w:szCs w:val="21"/>
              </w:rPr>
              <w:t>6</w:t>
            </w:r>
            <w:r>
              <w:rPr>
                <w:rFonts w:eastAsia="Arial" w:cs="Arial"/>
                <w:color w:val="333333"/>
                <w:sz w:val="21"/>
                <w:szCs w:val="21"/>
              </w:rPr>
              <w:t>.</w:t>
            </w:r>
          </w:p>
        </w:tc>
      </w:tr>
    </w:tbl>
    <w:p>
      <w:pPr>
        <w:pStyle w:val="Normal"/>
        <w:spacing w:before="100" w:after="100"/>
        <w:rPr/>
      </w:pPr>
      <w:r>
        <w:rPr/>
      </w:r>
    </w:p>
    <w:p>
      <w:pPr>
        <w:pStyle w:val="Normal"/>
        <w:rPr/>
      </w:pPr>
      <w:r>
        <w:rPr/>
      </w:r>
      <w:r>
        <w:br w:type="page"/>
      </w:r>
    </w:p>
    <w:p>
      <w:pPr>
        <w:pStyle w:val="Heading1"/>
        <w:pBdr>
          <w:bottom w:val="single" w:sz="6" w:space="4" w:color="1F4E79"/>
        </w:pBdr>
        <w:spacing w:before="0" w:after="120"/>
        <w:rPr/>
      </w:pPr>
      <w:r>
        <w:rPr>
          <w:rFonts w:eastAsia="Arial" w:cs="Arial" w:ascii="Arial" w:hAnsi="Arial"/>
          <w:b/>
          <w:bCs/>
          <w:color w:val="1F4E79"/>
          <w:sz w:val="28"/>
          <w:szCs w:val="28"/>
        </w:rPr>
        <w:t>1. Contexto y Problema</w:t>
      </w:r>
    </w:p>
    <w:p>
      <w:pPr>
        <w:pStyle w:val="Normal"/>
        <w:spacing w:before="80" w:after="80"/>
        <w:rPr/>
      </w:pPr>
      <w:r>
        <w:rPr>
          <w:rFonts w:eastAsia="Arial" w:cs="Arial"/>
          <w:color w:val="333333"/>
          <w:sz w:val="22"/>
          <w:szCs w:val="22"/>
        </w:rPr>
        <w:t>La universidad opera actualmente con un sistema de inscripciones que presenta fallas críticas de disponibilidad bajo carga concurrente alta. El sistema colapsa durante los períodos de inscripción, cuando miles de alumnos intentan registrarse simultáneamente.</w:t>
      </w:r>
    </w:p>
    <w:p>
      <w:pPr>
        <w:pStyle w:val="Normal"/>
        <w:spacing w:before="100" w:after="100"/>
        <w:rPr/>
      </w:pPr>
      <w:r>
        <w:rPr/>
      </w:r>
    </w:p>
    <w:p>
      <w:pPr>
        <w:pStyle w:val="Normal"/>
        <w:spacing w:before="80" w:after="80"/>
        <w:rPr/>
      </w:pPr>
      <w:r>
        <w:rPr>
          <w:rFonts w:eastAsia="Arial" w:cs="Arial"/>
          <w:color w:val="333333"/>
          <w:sz w:val="22"/>
          <w:szCs w:val="22"/>
        </w:rPr>
        <w:t>Este proyecto reemplaza ese sistema con una plataforma moderna diseñada para soportar alta concurrencia, con gestión de notas confiable y auditable, construida sobre una arquitectura técnica definida por el equipo de desarrollo institucional.</w:t>
      </w:r>
    </w:p>
    <w:p>
      <w:pPr>
        <w:pStyle w:val="Normal"/>
        <w:spacing w:before="100" w:after="100"/>
        <w:rPr/>
      </w:pPr>
      <w:r>
        <w:rPr/>
      </w:r>
    </w:p>
    <w:p>
      <w:pPr>
        <w:pStyle w:val="Heading1"/>
        <w:pBdr>
          <w:bottom w:val="single" w:sz="6" w:space="4" w:color="1F4E79"/>
        </w:pBdr>
        <w:spacing w:before="360" w:after="120"/>
        <w:rPr/>
      </w:pPr>
      <w:r>
        <w:rPr>
          <w:rFonts w:eastAsia="Arial" w:cs="Arial" w:ascii="Arial" w:hAnsi="Arial"/>
          <w:b/>
          <w:bCs/>
          <w:color w:val="1F4E79"/>
          <w:sz w:val="28"/>
          <w:szCs w:val="28"/>
        </w:rPr>
        <w:t>2. Arquitectura Técnica</w:t>
      </w:r>
    </w:p>
    <w:p>
      <w:pPr>
        <w:pStyle w:val="Normal"/>
        <w:spacing w:before="80" w:after="80"/>
        <w:rPr/>
      </w:pPr>
      <w:r>
        <w:rPr>
          <w:rFonts w:eastAsia="Arial" w:cs="Arial"/>
          <w:color w:val="333333"/>
          <w:sz w:val="22"/>
          <w:szCs w:val="22"/>
        </w:rPr>
        <w:t>La siguiente stack tecnológica fue definida por el equipo de desarrollo y aplica a la totalidad del sistema:</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2198"/>
        <w:gridCol w:w="2802"/>
        <w:gridCol w:w="4360"/>
      </w:tblGrid>
      <w:tr>
        <w:trPr/>
        <w:tc>
          <w:tcPr>
            <w:tcW w:w="219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1"/>
                <w:szCs w:val="21"/>
              </w:rPr>
              <w:t>Capa</w:t>
            </w:r>
          </w:p>
        </w:tc>
        <w:tc>
          <w:tcPr>
            <w:tcW w:w="2802"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1"/>
                <w:szCs w:val="21"/>
              </w:rPr>
              <w:t>Tecnología</w:t>
            </w:r>
          </w:p>
        </w:tc>
        <w:tc>
          <w:tcPr>
            <w:tcW w:w="436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1"/>
                <w:szCs w:val="21"/>
              </w:rPr>
              <w:t>Detalle / Uso en el proyecto</w:t>
            </w:r>
          </w:p>
        </w:tc>
      </w:tr>
      <w:tr>
        <w:trPr/>
        <w:tc>
          <w:tcPr>
            <w:tcW w:w="2198" w:type="dxa"/>
            <w:tcBorders>
              <w:top w:val="single" w:sz="2" w:space="0" w:color="CCCCCC"/>
              <w:left w:val="single" w:sz="2" w:space="0" w:color="CCCCCC"/>
              <w:bottom w:val="single" w:sz="2" w:space="0" w:color="CCCCCC"/>
              <w:right w:val="single" w:sz="2" w:space="0" w:color="CCCCCC"/>
            </w:tcBorders>
            <w:shd w:fill="2E75B6" w:val="clear"/>
            <w:tcMar>
              <w:top w:w="100" w:type="dxa"/>
              <w:bottom w:w="100" w:type="dxa"/>
            </w:tcMar>
          </w:tcPr>
          <w:p>
            <w:pPr>
              <w:pStyle w:val="Normal"/>
              <w:rPr/>
            </w:pPr>
            <w:r>
              <w:rPr>
                <w:rFonts w:eastAsia="Arial" w:cs="Arial"/>
                <w:b/>
                <w:bCs/>
                <w:color w:val="FFFFFF"/>
                <w:sz w:val="21"/>
                <w:szCs w:val="21"/>
              </w:rPr>
              <w:t>Frontend</w:t>
            </w:r>
          </w:p>
        </w:tc>
        <w:tc>
          <w:tcPr>
            <w:tcW w:w="2802" w:type="dxa"/>
            <w:tcBorders>
              <w:top w:val="single" w:sz="2" w:space="0" w:color="CCCCCC"/>
              <w:left w:val="single" w:sz="2" w:space="0" w:color="CCCCCC"/>
              <w:bottom w:val="single" w:sz="2" w:space="0" w:color="CCCCCC"/>
              <w:right w:val="single" w:sz="2" w:space="0" w:color="CCCCCC"/>
            </w:tcBorders>
            <w:shd w:fill="F2F2F2" w:val="clear"/>
            <w:tcMar>
              <w:top w:w="100" w:type="dxa"/>
              <w:bottom w:w="100" w:type="dxa"/>
            </w:tcMar>
          </w:tcPr>
          <w:p>
            <w:pPr>
              <w:pStyle w:val="Normal"/>
              <w:rPr/>
            </w:pPr>
            <w:r>
              <w:rPr>
                <w:rFonts w:eastAsia="Arial" w:cs="Arial"/>
                <w:b/>
                <w:bCs/>
                <w:color w:val="1F4E79"/>
                <w:sz w:val="21"/>
                <w:szCs w:val="21"/>
              </w:rPr>
              <w:t>React.js + TypeScript</w:t>
            </w:r>
          </w:p>
        </w:tc>
        <w:tc>
          <w:tcPr>
            <w:tcW w:w="4360" w:type="dxa"/>
            <w:tcBorders>
              <w:top w:val="single" w:sz="2" w:space="0" w:color="CCCCCC"/>
              <w:left w:val="single" w:sz="2" w:space="0" w:color="CCCCCC"/>
              <w:bottom w:val="single" w:sz="2" w:space="0" w:color="CCCCCC"/>
              <w:right w:val="single" w:sz="2" w:space="0" w:color="CCCCCC"/>
            </w:tcBorders>
            <w:shd w:fill="FFFFFF" w:val="clear"/>
            <w:tcMar>
              <w:top w:w="100" w:type="dxa"/>
              <w:bottom w:w="100" w:type="dxa"/>
            </w:tcMar>
          </w:tcPr>
          <w:p>
            <w:pPr>
              <w:pStyle w:val="Normal"/>
              <w:rPr/>
            </w:pPr>
            <w:r>
              <w:rPr>
                <w:rFonts w:eastAsia="Arial" w:cs="Arial"/>
                <w:color w:val="333333"/>
                <w:sz w:val="21"/>
                <w:szCs w:val="21"/>
              </w:rPr>
              <w:t>Interfaz web para alumnos y docentes. TypeScript garantiza tipado estático y menor tasa de errores en producción.</w:t>
            </w:r>
          </w:p>
        </w:tc>
      </w:tr>
      <w:tr>
        <w:trPr/>
        <w:tc>
          <w:tcPr>
            <w:tcW w:w="2198" w:type="dxa"/>
            <w:tcBorders>
              <w:top w:val="single" w:sz="2" w:space="0" w:color="CCCCCC"/>
              <w:left w:val="single" w:sz="2" w:space="0" w:color="CCCCCC"/>
              <w:bottom w:val="single" w:sz="2" w:space="0" w:color="CCCCCC"/>
              <w:right w:val="single" w:sz="2" w:space="0" w:color="CCCCCC"/>
            </w:tcBorders>
            <w:shd w:fill="1F4E79" w:val="clear"/>
            <w:tcMar>
              <w:top w:w="100" w:type="dxa"/>
              <w:bottom w:w="100" w:type="dxa"/>
            </w:tcMar>
          </w:tcPr>
          <w:p>
            <w:pPr>
              <w:pStyle w:val="Normal"/>
              <w:rPr/>
            </w:pPr>
            <w:r>
              <w:rPr>
                <w:rFonts w:eastAsia="Arial" w:cs="Arial"/>
                <w:b/>
                <w:bCs/>
                <w:color w:val="FFFFFF"/>
                <w:sz w:val="21"/>
                <w:szCs w:val="21"/>
              </w:rPr>
              <w:t>Backend</w:t>
            </w:r>
          </w:p>
        </w:tc>
        <w:tc>
          <w:tcPr>
            <w:tcW w:w="2802" w:type="dxa"/>
            <w:tcBorders>
              <w:top w:val="single" w:sz="2" w:space="0" w:color="CCCCCC"/>
              <w:left w:val="single" w:sz="2" w:space="0" w:color="CCCCCC"/>
              <w:bottom w:val="single" w:sz="2" w:space="0" w:color="CCCCCC"/>
              <w:right w:val="single" w:sz="2" w:space="0" w:color="CCCCCC"/>
            </w:tcBorders>
            <w:shd w:fill="F2F2F2" w:val="clear"/>
            <w:tcMar>
              <w:top w:w="100" w:type="dxa"/>
              <w:bottom w:w="100" w:type="dxa"/>
            </w:tcMar>
          </w:tcPr>
          <w:p>
            <w:pPr>
              <w:pStyle w:val="Normal"/>
              <w:rPr/>
            </w:pPr>
            <w:r>
              <w:rPr>
                <w:rFonts w:eastAsia="Arial" w:cs="Arial"/>
                <w:b/>
                <w:bCs/>
                <w:color w:val="1F4E79"/>
                <w:sz w:val="21"/>
                <w:szCs w:val="21"/>
              </w:rPr>
              <w:t>Java + Spring Boot</w:t>
            </w:r>
          </w:p>
        </w:tc>
        <w:tc>
          <w:tcPr>
            <w:tcW w:w="4360" w:type="dxa"/>
            <w:tcBorders>
              <w:top w:val="single" w:sz="2" w:space="0" w:color="CCCCCC"/>
              <w:left w:val="single" w:sz="2" w:space="0" w:color="CCCCCC"/>
              <w:bottom w:val="single" w:sz="2" w:space="0" w:color="CCCCCC"/>
              <w:right w:val="single" w:sz="2" w:space="0" w:color="CCCCCC"/>
            </w:tcBorders>
            <w:shd w:fill="FFFFFF" w:val="clear"/>
            <w:tcMar>
              <w:top w:w="100" w:type="dxa"/>
              <w:bottom w:w="100" w:type="dxa"/>
            </w:tcMar>
          </w:tcPr>
          <w:p>
            <w:pPr>
              <w:pStyle w:val="Normal"/>
              <w:rPr/>
            </w:pPr>
            <w:r>
              <w:rPr>
                <w:rFonts w:eastAsia="Arial" w:cs="Arial"/>
                <w:color w:val="333333"/>
                <w:sz w:val="21"/>
                <w:szCs w:val="21"/>
              </w:rPr>
              <w:t>API REST que expone todos los endpoints del sistema. Spring Boot simplifica configuración y despliegue.</w:t>
            </w:r>
          </w:p>
        </w:tc>
      </w:tr>
      <w:tr>
        <w:trPr/>
        <w:tc>
          <w:tcPr>
            <w:tcW w:w="2198" w:type="dxa"/>
            <w:tcBorders>
              <w:top w:val="single" w:sz="2" w:space="0" w:color="CCCCCC"/>
              <w:left w:val="single" w:sz="2" w:space="0" w:color="CCCCCC"/>
              <w:bottom w:val="single" w:sz="2" w:space="0" w:color="CCCCCC"/>
              <w:right w:val="single" w:sz="2" w:space="0" w:color="CCCCCC"/>
            </w:tcBorders>
            <w:shd w:fill="2E4E79" w:val="clear"/>
            <w:tcMar>
              <w:top w:w="100" w:type="dxa"/>
              <w:bottom w:w="100" w:type="dxa"/>
            </w:tcMar>
          </w:tcPr>
          <w:p>
            <w:pPr>
              <w:pStyle w:val="Normal"/>
              <w:rPr/>
            </w:pPr>
            <w:r>
              <w:rPr>
                <w:rFonts w:eastAsia="Arial" w:cs="Arial"/>
                <w:b/>
                <w:bCs/>
                <w:color w:val="FFFFFF"/>
                <w:sz w:val="21"/>
                <w:szCs w:val="21"/>
              </w:rPr>
              <w:t>ORM</w:t>
            </w:r>
          </w:p>
        </w:tc>
        <w:tc>
          <w:tcPr>
            <w:tcW w:w="2802" w:type="dxa"/>
            <w:tcBorders>
              <w:top w:val="single" w:sz="2" w:space="0" w:color="CCCCCC"/>
              <w:left w:val="single" w:sz="2" w:space="0" w:color="CCCCCC"/>
              <w:bottom w:val="single" w:sz="2" w:space="0" w:color="CCCCCC"/>
              <w:right w:val="single" w:sz="2" w:space="0" w:color="CCCCCC"/>
            </w:tcBorders>
            <w:shd w:fill="F2F2F2" w:val="clear"/>
            <w:tcMar>
              <w:top w:w="100" w:type="dxa"/>
              <w:bottom w:w="100" w:type="dxa"/>
            </w:tcMar>
          </w:tcPr>
          <w:p>
            <w:pPr>
              <w:pStyle w:val="Normal"/>
              <w:rPr/>
            </w:pPr>
            <w:r>
              <w:rPr>
                <w:rFonts w:eastAsia="Arial" w:cs="Arial"/>
                <w:b/>
                <w:bCs/>
                <w:color w:val="1F4E79"/>
                <w:sz w:val="21"/>
                <w:szCs w:val="21"/>
              </w:rPr>
              <w:t>Hibernate</w:t>
            </w:r>
          </w:p>
        </w:tc>
        <w:tc>
          <w:tcPr>
            <w:tcW w:w="4360" w:type="dxa"/>
            <w:tcBorders>
              <w:top w:val="single" w:sz="2" w:space="0" w:color="CCCCCC"/>
              <w:left w:val="single" w:sz="2" w:space="0" w:color="CCCCCC"/>
              <w:bottom w:val="single" w:sz="2" w:space="0" w:color="CCCCCC"/>
              <w:right w:val="single" w:sz="2" w:space="0" w:color="CCCCCC"/>
            </w:tcBorders>
            <w:shd w:fill="FFFFFF" w:val="clear"/>
            <w:tcMar>
              <w:top w:w="100" w:type="dxa"/>
              <w:bottom w:w="100" w:type="dxa"/>
            </w:tcMar>
          </w:tcPr>
          <w:p>
            <w:pPr>
              <w:pStyle w:val="Normal"/>
              <w:rPr/>
            </w:pPr>
            <w:r>
              <w:rPr>
                <w:rFonts w:eastAsia="Arial" w:cs="Arial"/>
                <w:color w:val="333333"/>
                <w:sz w:val="21"/>
                <w:szCs w:val="21"/>
              </w:rPr>
              <w:t>Mapeo objeto-relacional sobre MySQL. Gestiona transacciones, relaciones y migraciones de esquema.</w:t>
            </w:r>
          </w:p>
        </w:tc>
      </w:tr>
      <w:tr>
        <w:trPr/>
        <w:tc>
          <w:tcPr>
            <w:tcW w:w="2198" w:type="dxa"/>
            <w:tcBorders>
              <w:top w:val="single" w:sz="2" w:space="0" w:color="CCCCCC"/>
              <w:left w:val="single" w:sz="2" w:space="0" w:color="CCCCCC"/>
              <w:bottom w:val="single" w:sz="2" w:space="0" w:color="CCCCCC"/>
              <w:right w:val="single" w:sz="2" w:space="0" w:color="CCCCCC"/>
            </w:tcBorders>
            <w:shd w:fill="1E6B3C" w:val="clear"/>
            <w:tcMar>
              <w:top w:w="100" w:type="dxa"/>
              <w:bottom w:w="100" w:type="dxa"/>
            </w:tcMar>
          </w:tcPr>
          <w:p>
            <w:pPr>
              <w:pStyle w:val="Normal"/>
              <w:rPr/>
            </w:pPr>
            <w:r>
              <w:rPr>
                <w:rFonts w:eastAsia="Arial" w:cs="Arial"/>
                <w:b/>
                <w:bCs/>
                <w:color w:val="FFFFFF"/>
                <w:sz w:val="21"/>
                <w:szCs w:val="21"/>
              </w:rPr>
              <w:t>Autenticación</w:t>
            </w:r>
          </w:p>
        </w:tc>
        <w:tc>
          <w:tcPr>
            <w:tcW w:w="2802" w:type="dxa"/>
            <w:tcBorders>
              <w:top w:val="single" w:sz="2" w:space="0" w:color="CCCCCC"/>
              <w:left w:val="single" w:sz="2" w:space="0" w:color="CCCCCC"/>
              <w:bottom w:val="single" w:sz="2" w:space="0" w:color="CCCCCC"/>
              <w:right w:val="single" w:sz="2" w:space="0" w:color="CCCCCC"/>
            </w:tcBorders>
            <w:shd w:fill="F2F2F2" w:val="clear"/>
            <w:tcMar>
              <w:top w:w="100" w:type="dxa"/>
              <w:bottom w:w="100" w:type="dxa"/>
            </w:tcMar>
          </w:tcPr>
          <w:p>
            <w:pPr>
              <w:pStyle w:val="Normal"/>
              <w:rPr/>
            </w:pPr>
            <w:r>
              <w:rPr>
                <w:rFonts w:eastAsia="Arial" w:cs="Arial"/>
                <w:b/>
                <w:bCs/>
                <w:color w:val="1F4E79"/>
                <w:sz w:val="21"/>
                <w:szCs w:val="21"/>
              </w:rPr>
              <w:t>JWT (JSON Web Token)</w:t>
            </w:r>
          </w:p>
        </w:tc>
        <w:tc>
          <w:tcPr>
            <w:tcW w:w="4360" w:type="dxa"/>
            <w:tcBorders>
              <w:top w:val="single" w:sz="2" w:space="0" w:color="CCCCCC"/>
              <w:left w:val="single" w:sz="2" w:space="0" w:color="CCCCCC"/>
              <w:bottom w:val="single" w:sz="2" w:space="0" w:color="CCCCCC"/>
              <w:right w:val="single" w:sz="2" w:space="0" w:color="CCCCCC"/>
            </w:tcBorders>
            <w:shd w:fill="FFFFFF" w:val="clear"/>
            <w:tcMar>
              <w:top w:w="100" w:type="dxa"/>
              <w:bottom w:w="100" w:type="dxa"/>
            </w:tcMar>
          </w:tcPr>
          <w:p>
            <w:pPr>
              <w:pStyle w:val="Normal"/>
              <w:rPr/>
            </w:pPr>
            <w:r>
              <w:rPr>
                <w:rFonts w:eastAsia="Arial" w:cs="Arial"/>
                <w:color w:val="333333"/>
                <w:sz w:val="21"/>
                <w:szCs w:val="21"/>
              </w:rPr>
              <w:t>Tokens firmados para autenticar cada request. Sin estado en servidor (stateless). Roles: alumno, docente, admin.</w:t>
            </w:r>
          </w:p>
        </w:tc>
      </w:tr>
      <w:tr>
        <w:trPr/>
        <w:tc>
          <w:tcPr>
            <w:tcW w:w="2198" w:type="dxa"/>
            <w:tcBorders>
              <w:top w:val="single" w:sz="2" w:space="0" w:color="CCCCCC"/>
              <w:left w:val="single" w:sz="2" w:space="0" w:color="CCCCCC"/>
              <w:bottom w:val="single" w:sz="2" w:space="0" w:color="CCCCCC"/>
              <w:right w:val="single" w:sz="2" w:space="0" w:color="CCCCCC"/>
            </w:tcBorders>
            <w:shd w:fill="7B4A14" w:val="clear"/>
            <w:tcMar>
              <w:top w:w="100" w:type="dxa"/>
              <w:bottom w:w="100" w:type="dxa"/>
            </w:tcMar>
          </w:tcPr>
          <w:p>
            <w:pPr>
              <w:pStyle w:val="Normal"/>
              <w:rPr/>
            </w:pPr>
            <w:r>
              <w:rPr>
                <w:rFonts w:eastAsia="Arial" w:cs="Arial"/>
                <w:b/>
                <w:bCs/>
                <w:color w:val="FFFFFF"/>
                <w:sz w:val="21"/>
                <w:szCs w:val="21"/>
              </w:rPr>
              <w:t>Base de datos</w:t>
            </w:r>
          </w:p>
        </w:tc>
        <w:tc>
          <w:tcPr>
            <w:tcW w:w="2802" w:type="dxa"/>
            <w:tcBorders>
              <w:top w:val="single" w:sz="2" w:space="0" w:color="CCCCCC"/>
              <w:left w:val="single" w:sz="2" w:space="0" w:color="CCCCCC"/>
              <w:bottom w:val="single" w:sz="2" w:space="0" w:color="CCCCCC"/>
              <w:right w:val="single" w:sz="2" w:space="0" w:color="CCCCCC"/>
            </w:tcBorders>
            <w:shd w:fill="F2F2F2" w:val="clear"/>
            <w:tcMar>
              <w:top w:w="100" w:type="dxa"/>
              <w:bottom w:w="100" w:type="dxa"/>
            </w:tcMar>
          </w:tcPr>
          <w:p>
            <w:pPr>
              <w:pStyle w:val="Normal"/>
              <w:rPr/>
            </w:pPr>
            <w:r>
              <w:rPr>
                <w:rFonts w:eastAsia="Arial" w:cs="Arial"/>
                <w:b/>
                <w:bCs/>
                <w:color w:val="1F4E79"/>
                <w:sz w:val="21"/>
                <w:szCs w:val="21"/>
              </w:rPr>
              <w:t>MySQL</w:t>
            </w:r>
          </w:p>
        </w:tc>
        <w:tc>
          <w:tcPr>
            <w:tcW w:w="4360" w:type="dxa"/>
            <w:tcBorders>
              <w:top w:val="single" w:sz="2" w:space="0" w:color="CCCCCC"/>
              <w:left w:val="single" w:sz="2" w:space="0" w:color="CCCCCC"/>
              <w:bottom w:val="single" w:sz="2" w:space="0" w:color="CCCCCC"/>
              <w:right w:val="single" w:sz="2" w:space="0" w:color="CCCCCC"/>
            </w:tcBorders>
            <w:shd w:fill="FFFFFF" w:val="clear"/>
            <w:tcMar>
              <w:top w:w="100" w:type="dxa"/>
              <w:bottom w:w="100" w:type="dxa"/>
            </w:tcMar>
          </w:tcPr>
          <w:p>
            <w:pPr>
              <w:pStyle w:val="Normal"/>
              <w:rPr/>
            </w:pPr>
            <w:r>
              <w:rPr>
                <w:rFonts w:eastAsia="Arial" w:cs="Arial"/>
                <w:color w:val="333333"/>
                <w:sz w:val="21"/>
                <w:szCs w:val="21"/>
              </w:rPr>
              <w:t>Persistencia principal. Tablas para alumnos, materias, inscripciones, notas y auditoría. Indices optimizados para concurrencia.</w:t>
            </w:r>
          </w:p>
        </w:tc>
      </w:tr>
    </w:tbl>
    <w:p>
      <w:pPr>
        <w:pStyle w:val="Normal"/>
        <w:spacing w:before="100" w:after="100"/>
        <w:rPr/>
      </w:pPr>
      <w:r>
        <w:rPr/>
      </w:r>
    </w:p>
    <w:p>
      <w:pPr>
        <w:pStyle w:val="Heading2"/>
        <w:spacing w:before="240" w:after="80"/>
        <w:rPr/>
      </w:pPr>
      <w:r>
        <w:rPr>
          <w:rFonts w:eastAsia="Arial" w:cs="Arial" w:ascii="Arial" w:hAnsi="Arial"/>
          <w:b/>
          <w:bCs/>
          <w:color w:val="2E75B6"/>
          <w:sz w:val="24"/>
          <w:szCs w:val="24"/>
        </w:rPr>
        <w:t>2.1  Decisiones de Arquitectura Relevantes</w:t>
      </w:r>
    </w:p>
    <w:p>
      <w:pPr>
        <w:pStyle w:val="ListParagraph"/>
        <w:numPr>
          <w:ilvl w:val="0"/>
          <w:numId w:val="4"/>
        </w:numPr>
        <w:spacing w:before="40" w:after="40"/>
        <w:rPr/>
      </w:pPr>
      <w:r>
        <w:rPr>
          <w:rFonts w:eastAsia="Arial" w:cs="Arial"/>
          <w:b w:val="false"/>
          <w:bCs w:val="false"/>
          <w:color w:val="333333"/>
          <w:sz w:val="22"/>
          <w:szCs w:val="22"/>
        </w:rPr>
        <w:t>Autenticación JWT: cada usuario recibe un token al iniciar sesión. El token incluye el rol (alumno / docente / admin) y es validado en cada request sin consultar base de datos, lo que reduce latencia bajo carga alta.</w:t>
      </w:r>
    </w:p>
    <w:p>
      <w:pPr>
        <w:pStyle w:val="ListParagraph"/>
        <w:numPr>
          <w:ilvl w:val="0"/>
          <w:numId w:val="5"/>
        </w:numPr>
        <w:spacing w:before="40" w:after="40"/>
        <w:rPr/>
      </w:pPr>
      <w:r>
        <w:rPr>
          <w:rFonts w:eastAsia="Arial" w:cs="Arial"/>
          <w:b w:val="false"/>
          <w:bCs w:val="false"/>
          <w:color w:val="333333"/>
          <w:sz w:val="22"/>
          <w:szCs w:val="22"/>
        </w:rPr>
        <w:t>Cola de espera para inscripciones: se implementará un mecanismo de queue en el backend (Spring + Redis o similar) para serializar el acceso durante picos, evitando condiciones de carrera sobre los cupos disponibles.</w:t>
      </w:r>
    </w:p>
    <w:p>
      <w:pPr>
        <w:pStyle w:val="ListParagraph"/>
        <w:numPr>
          <w:ilvl w:val="0"/>
          <w:numId w:val="6"/>
        </w:numPr>
        <w:spacing w:before="40" w:after="40"/>
        <w:rPr/>
      </w:pPr>
      <w:r>
        <w:rPr>
          <w:rFonts w:eastAsia="Arial" w:cs="Arial"/>
          <w:b w:val="false"/>
          <w:bCs w:val="false"/>
          <w:color w:val="333333"/>
          <w:sz w:val="22"/>
          <w:szCs w:val="22"/>
        </w:rPr>
        <w:t>Auditoría de notas: una tabla de auditoría en MySQL registrará cada operación sobre notas (INSERT/UPDATE) con timestamp, usuario y hash del registro anterior. Una vez cerrada el acta, la API bloqueará cualquier modificación a nivel de lógica de negocio.</w:t>
      </w:r>
    </w:p>
    <w:p>
      <w:pPr>
        <w:pStyle w:val="ListParagraph"/>
        <w:numPr>
          <w:ilvl w:val="0"/>
          <w:numId w:val="7"/>
        </w:numPr>
        <w:spacing w:before="40" w:after="40"/>
        <w:rPr/>
      </w:pPr>
      <w:r>
        <w:rPr>
          <w:rFonts w:eastAsia="Arial" w:cs="Arial"/>
          <w:b w:val="false"/>
          <w:bCs w:val="false"/>
          <w:color w:val="333333"/>
          <w:sz w:val="22"/>
          <w:szCs w:val="22"/>
        </w:rPr>
        <w:t>Hibernate y transacciones: el ORM gestionará las transacciones de inscripción con bloqueo optimista (optimistic locking) para evitar sobrecupos bajo concurrencia.</w:t>
      </w:r>
    </w:p>
    <w:p>
      <w:pPr>
        <w:pStyle w:val="Normal"/>
        <w:spacing w:before="100" w:after="100"/>
        <w:rPr/>
      </w:pPr>
      <w:r>
        <w:rPr/>
      </w:r>
    </w:p>
    <w:p>
      <w:pPr>
        <w:pStyle w:val="Normal"/>
        <w:rPr/>
      </w:pPr>
      <w:r>
        <w:rPr/>
      </w:r>
      <w:r>
        <w:br w:type="page"/>
      </w:r>
    </w:p>
    <w:p>
      <w:pPr>
        <w:pStyle w:val="Heading1"/>
        <w:pBdr>
          <w:bottom w:val="single" w:sz="6" w:space="4" w:color="1F4E79"/>
        </w:pBdr>
        <w:spacing w:before="0" w:after="120"/>
        <w:rPr/>
      </w:pPr>
      <w:r>
        <w:rPr>
          <w:rFonts w:eastAsia="Arial" w:cs="Arial" w:ascii="Arial" w:hAnsi="Arial"/>
          <w:b/>
          <w:bCs/>
          <w:color w:val="1F4E79"/>
          <w:sz w:val="28"/>
          <w:szCs w:val="28"/>
        </w:rPr>
        <w:t>3. Objetivos del Proyecto</w:t>
      </w:r>
    </w:p>
    <w:p>
      <w:pPr>
        <w:pStyle w:val="ListParagraph"/>
        <w:numPr>
          <w:ilvl w:val="0"/>
          <w:numId w:val="8"/>
        </w:numPr>
        <w:spacing w:before="40" w:after="40"/>
        <w:rPr/>
      </w:pPr>
      <w:r>
        <w:rPr>
          <w:rFonts w:eastAsia="Arial" w:cs="Arial"/>
          <w:b w:val="false"/>
          <w:bCs w:val="false"/>
          <w:color w:val="333333"/>
          <w:sz w:val="22"/>
          <w:szCs w:val="22"/>
        </w:rPr>
        <w:t>Brindar a los alumnos una experiencia fluida de inscripción a materias, sin caídas durante picos de demanda.</w:t>
      </w:r>
    </w:p>
    <w:p>
      <w:pPr>
        <w:pStyle w:val="ListParagraph"/>
        <w:numPr>
          <w:ilvl w:val="0"/>
          <w:numId w:val="9"/>
        </w:numPr>
        <w:spacing w:before="40" w:after="40"/>
        <w:rPr/>
      </w:pPr>
      <w:r>
        <w:rPr>
          <w:rFonts w:eastAsia="Arial" w:cs="Arial"/>
          <w:b w:val="false"/>
          <w:bCs w:val="false"/>
          <w:color w:val="333333"/>
          <w:sz w:val="22"/>
          <w:szCs w:val="22"/>
        </w:rPr>
        <w:t>Permitir a los alumnos consultar sus notas en cualquier momento desde la interfaz React.</w:t>
      </w:r>
    </w:p>
    <w:p>
      <w:pPr>
        <w:pStyle w:val="ListParagraph"/>
        <w:numPr>
          <w:ilvl w:val="0"/>
          <w:numId w:val="10"/>
        </w:numPr>
        <w:spacing w:before="40" w:after="40"/>
        <w:rPr/>
      </w:pPr>
      <w:r>
        <w:rPr>
          <w:rFonts w:eastAsia="Arial" w:cs="Arial"/>
          <w:b w:val="false"/>
          <w:bCs w:val="false"/>
          <w:color w:val="333333"/>
          <w:sz w:val="22"/>
          <w:szCs w:val="22"/>
        </w:rPr>
        <w:t>Garantizar que las notas sean inmutables una vez que el docente las cierra formalmente.</w:t>
      </w:r>
    </w:p>
    <w:p>
      <w:pPr>
        <w:pStyle w:val="ListParagraph"/>
        <w:numPr>
          <w:ilvl w:val="0"/>
          <w:numId w:val="11"/>
        </w:numPr>
        <w:spacing w:before="40" w:after="40"/>
        <w:rPr/>
      </w:pPr>
      <w:r>
        <w:rPr>
          <w:rFonts w:eastAsia="Arial" w:cs="Arial"/>
          <w:b w:val="false"/>
          <w:bCs w:val="false"/>
          <w:color w:val="333333"/>
          <w:sz w:val="22"/>
          <w:szCs w:val="22"/>
        </w:rPr>
        <w:t>Reemplazar el sistema anterior sin pérdida de datos históricos.</w:t>
      </w:r>
    </w:p>
    <w:p>
      <w:pPr>
        <w:pStyle w:val="Normal"/>
        <w:spacing w:before="100" w:after="100"/>
        <w:rPr/>
      </w:pPr>
      <w:r>
        <w:rPr/>
      </w:r>
    </w:p>
    <w:p>
      <w:pPr>
        <w:pStyle w:val="Heading1"/>
        <w:pBdr>
          <w:bottom w:val="single" w:sz="6" w:space="4" w:color="1F4E79"/>
        </w:pBdr>
        <w:spacing w:before="360" w:after="120"/>
        <w:rPr/>
      </w:pPr>
      <w:r>
        <w:rPr>
          <w:rFonts w:eastAsia="Arial" w:cs="Arial" w:ascii="Arial" w:hAnsi="Arial"/>
          <w:b/>
          <w:bCs/>
          <w:color w:val="1F4E79"/>
          <w:sz w:val="28"/>
          <w:szCs w:val="28"/>
        </w:rPr>
        <w:t>4. Usuarios del Sistema</w:t>
      </w:r>
    </w:p>
    <w:tbl>
      <w:tblPr>
        <w:tblW w:w="9360" w:type="dxa"/>
        <w:jc w:val="left"/>
        <w:tblInd w:w="0" w:type="dxa"/>
        <w:tblLayout w:type="fixed"/>
        <w:tblCellMar>
          <w:top w:w="80" w:type="dxa"/>
          <w:left w:w="120" w:type="dxa"/>
          <w:bottom w:w="80" w:type="dxa"/>
          <w:right w:w="120" w:type="dxa"/>
        </w:tblCellMar>
      </w:tblPr>
      <w:tblGrid>
        <w:gridCol w:w="2000"/>
        <w:gridCol w:w="3000"/>
        <w:gridCol w:w="2359"/>
        <w:gridCol w:w="2000"/>
      </w:tblGrid>
      <w:tr>
        <w:trPr/>
        <w:tc>
          <w:tcPr>
            <w:tcW w:w="20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1"/>
                <w:szCs w:val="21"/>
              </w:rPr>
              <w:t>Rol</w:t>
            </w:r>
          </w:p>
        </w:tc>
        <w:tc>
          <w:tcPr>
            <w:tcW w:w="30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1"/>
                <w:szCs w:val="21"/>
              </w:rPr>
              <w:t>Acceso</w:t>
            </w:r>
          </w:p>
        </w:tc>
        <w:tc>
          <w:tcPr>
            <w:tcW w:w="23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1"/>
                <w:szCs w:val="21"/>
              </w:rPr>
              <w:t>Autenticación</w:t>
            </w:r>
          </w:p>
        </w:tc>
        <w:tc>
          <w:tcPr>
            <w:tcW w:w="20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1"/>
                <w:szCs w:val="21"/>
              </w:rPr>
              <w:t>Restricciones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1"/>
                <w:szCs w:val="21"/>
              </w:rPr>
              <w:t>Alumno</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1"/>
                <w:szCs w:val="21"/>
              </w:rPr>
              <w:t>Inscripción a materias, consulta de notas propias</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1"/>
                <w:szCs w:val="21"/>
              </w:rPr>
              <w:t>JWT rol: alumno</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1"/>
                <w:szCs w:val="21"/>
              </w:rPr>
              <w:t>Solo ve sus propios datos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1"/>
                <w:szCs w:val="21"/>
              </w:rPr>
              <w:t>Docente</w:t>
            </w:r>
          </w:p>
        </w:tc>
        <w:tc>
          <w:tcPr>
            <w:tcW w:w="3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1"/>
                <w:szCs w:val="21"/>
              </w:rPr>
              <w:t>Carga y cierre de notas de sus materias</w:t>
            </w:r>
          </w:p>
        </w:tc>
        <w:tc>
          <w:tcPr>
            <w:tcW w:w="23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1"/>
                <w:szCs w:val="21"/>
              </w:rPr>
              <w:t>JWT rol: docente</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1"/>
                <w:szCs w:val="21"/>
              </w:rPr>
              <w:t>No puede editar notas cerradas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1"/>
                <w:szCs w:val="21"/>
              </w:rPr>
              <w:t>Administrador</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1"/>
                <w:szCs w:val="21"/>
              </w:rPr>
              <w:t>Gestión de materias, períodos, usuarios</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1"/>
                <w:szCs w:val="21"/>
              </w:rPr>
              <w:t>JWT rol: admin</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1"/>
                <w:szCs w:val="21"/>
              </w:rPr>
              <w:t>Auditoría completa de acciones</w:t>
            </w:r>
          </w:p>
        </w:tc>
      </w:tr>
    </w:tbl>
    <w:p>
      <w:pPr>
        <w:pStyle w:val="Normal"/>
        <w:spacing w:before="100" w:after="100"/>
        <w:rPr/>
      </w:pPr>
      <w:r>
        <w:rPr/>
      </w:r>
    </w:p>
    <w:p>
      <w:pPr>
        <w:pStyle w:val="Normal"/>
        <w:rPr/>
      </w:pPr>
      <w:r>
        <w:rPr/>
      </w:r>
      <w:r>
        <w:br w:type="page"/>
      </w:r>
    </w:p>
    <w:p>
      <w:pPr>
        <w:pStyle w:val="Heading1"/>
        <w:pBdr>
          <w:bottom w:val="single" w:sz="6" w:space="4" w:color="1F4E79"/>
        </w:pBdr>
        <w:spacing w:before="0" w:after="120"/>
        <w:rPr/>
      </w:pPr>
      <w:r>
        <w:rPr>
          <w:rFonts w:eastAsia="Arial" w:cs="Arial" w:ascii="Arial" w:hAnsi="Arial"/>
          <w:b/>
          <w:bCs/>
          <w:color w:val="1F4E79"/>
          <w:sz w:val="28"/>
          <w:szCs w:val="28"/>
        </w:rPr>
        <w:t>5. Funcionalidades Incluidas en el Alcance</w:t>
      </w:r>
    </w:p>
    <w:p>
      <w:pPr>
        <w:pStyle w:val="Heading2"/>
        <w:spacing w:before="240" w:after="80"/>
        <w:rPr/>
      </w:pPr>
      <w:r>
        <w:rPr>
          <w:rFonts w:eastAsia="Arial" w:cs="Arial" w:ascii="Arial" w:hAnsi="Arial"/>
          <w:b/>
          <w:bCs/>
          <w:color w:val="2E75B6"/>
          <w:sz w:val="24"/>
          <w:szCs w:val="24"/>
        </w:rPr>
        <w:t>5.1  Inscripción a Materias con Alta Concurrencia</w:t>
      </w:r>
    </w:p>
    <w:tbl>
      <w:tblPr>
        <w:tblW w:w="9360" w:type="dxa"/>
        <w:jc w:val="left"/>
        <w:tblInd w:w="0" w:type="dxa"/>
        <w:tblLayout w:type="fixed"/>
        <w:tblCellMar>
          <w:top w:w="120" w:type="dxa"/>
          <w:left w:w="160" w:type="dxa"/>
          <w:bottom w:w="60" w:type="dxa"/>
          <w:right w:w="16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D6F0E0" w:val="clear"/>
          </w:tcPr>
          <w:p>
            <w:pPr>
              <w:pStyle w:val="Normal"/>
              <w:rPr/>
            </w:pPr>
            <w:r>
              <w:rPr>
                <w:rFonts w:eastAsia="Arial" w:cs="Arial"/>
                <w:b/>
                <w:bCs/>
                <w:color w:val="1E6B3C"/>
                <w:sz w:val="22"/>
                <w:szCs w:val="22"/>
              </w:rPr>
              <w:t xml:space="preserve">✅ </w:t>
            </w:r>
            <w:r>
              <w:rPr>
                <w:rFonts w:eastAsia="Arial" w:cs="Arial"/>
                <w:b/>
                <w:bCs/>
                <w:color w:val="1E6B3C"/>
                <w:sz w:val="22"/>
                <w:szCs w:val="22"/>
              </w:rPr>
              <w:t>Incluido — Tal como se solicitó</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12"/>
              </w:numPr>
              <w:spacing w:before="20" w:after="20"/>
              <w:rPr/>
            </w:pPr>
            <w:r>
              <w:rPr>
                <w:rFonts w:eastAsia="Arial" w:cs="Arial"/>
                <w:color w:val="1E6B3C"/>
                <w:sz w:val="21"/>
                <w:szCs w:val="21"/>
              </w:rPr>
              <w:t>Soportará 50.000 usuarios simultáneos durante períodos de inscripción.</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13"/>
              </w:numPr>
              <w:spacing w:before="20" w:after="20"/>
              <w:rPr/>
            </w:pPr>
            <w:r>
              <w:rPr>
                <w:rFonts w:eastAsia="Arial" w:cs="Arial"/>
                <w:color w:val="1E6B3C"/>
                <w:sz w:val="21"/>
                <w:szCs w:val="21"/>
              </w:rPr>
              <w:t>Backend Spring Boot con cola de espera (queue) que serializa el acceso a cupos. El alumno ve su posición en tiempo real desde el frontend React.</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14"/>
              </w:numPr>
              <w:spacing w:before="20" w:after="20"/>
              <w:rPr/>
            </w:pPr>
            <w:r>
              <w:rPr>
                <w:rFonts w:eastAsia="Arial" w:cs="Arial"/>
                <w:color w:val="1E6B3C"/>
                <w:sz w:val="21"/>
                <w:szCs w:val="21"/>
              </w:rPr>
              <w:t>Hibernate con optimistic locking previene sobrecupos bajo condiciones de carrera en MySQL.</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15"/>
              </w:numPr>
              <w:spacing w:before="20" w:after="20"/>
              <w:rPr/>
            </w:pPr>
            <w:r>
              <w:rPr>
                <w:rFonts w:eastAsia="Arial" w:cs="Arial"/>
                <w:color w:val="1E6B3C"/>
                <w:sz w:val="21"/>
                <w:szCs w:val="21"/>
              </w:rPr>
              <w:t>Pruebas de carga (load testing) obligatorias antes de cada período de inscripción.</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16"/>
              </w:numPr>
              <w:spacing w:before="20" w:after="20"/>
              <w:rPr/>
            </w:pPr>
            <w:r>
              <w:rPr>
                <w:rFonts w:eastAsia="Arial" w:cs="Arial"/>
                <w:color w:val="1E6B3C"/>
                <w:sz w:val="21"/>
                <w:szCs w:val="21"/>
              </w:rPr>
              <w:t>En caso de saturación, el alumno verá un estimado de espera en lugar de un error 500.</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17"/>
              </w:numPr>
              <w:spacing w:before="20" w:after="20"/>
              <w:rPr/>
            </w:pPr>
            <w:r>
              <w:rPr>
                <w:rFonts w:eastAsia="Arial" w:cs="Arial"/>
                <w:color w:val="1E6B3C"/>
                <w:sz w:val="21"/>
                <w:szCs w:val="21"/>
              </w:rPr>
              <w:t>Disponibilidad objetivo: 99,9% durante períodos activos de inscripción.</w:t>
            </w:r>
          </w:p>
        </w:tc>
      </w:tr>
    </w:tbl>
    <w:p>
      <w:pPr>
        <w:pStyle w:val="Normal"/>
        <w:spacing w:before="100" w:after="100"/>
        <w:rPr/>
      </w:pPr>
      <w:r>
        <w:rPr/>
      </w:r>
    </w:p>
    <w:p>
      <w:pPr>
        <w:pStyle w:val="Heading2"/>
        <w:spacing w:before="240" w:after="80"/>
        <w:rPr/>
      </w:pPr>
      <w:r>
        <w:rPr>
          <w:rFonts w:eastAsia="Arial" w:cs="Arial" w:ascii="Arial" w:hAnsi="Arial"/>
          <w:b/>
          <w:bCs/>
          <w:color w:val="2E75B6"/>
          <w:sz w:val="24"/>
          <w:szCs w:val="24"/>
        </w:rPr>
        <w:t>5.2  Consulta de Notas</w:t>
      </w:r>
    </w:p>
    <w:tbl>
      <w:tblPr>
        <w:tblW w:w="9360" w:type="dxa"/>
        <w:jc w:val="left"/>
        <w:tblInd w:w="0" w:type="dxa"/>
        <w:tblLayout w:type="fixed"/>
        <w:tblCellMar>
          <w:top w:w="120" w:type="dxa"/>
          <w:left w:w="160" w:type="dxa"/>
          <w:bottom w:w="60" w:type="dxa"/>
          <w:right w:w="16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D6F0E0" w:val="clear"/>
          </w:tcPr>
          <w:p>
            <w:pPr>
              <w:pStyle w:val="Normal"/>
              <w:rPr/>
            </w:pPr>
            <w:r>
              <w:rPr>
                <w:rFonts w:eastAsia="Arial" w:cs="Arial"/>
                <w:b/>
                <w:bCs/>
                <w:color w:val="1E6B3C"/>
                <w:sz w:val="22"/>
                <w:szCs w:val="22"/>
              </w:rPr>
              <w:t xml:space="preserve">✅ </w:t>
            </w:r>
            <w:r>
              <w:rPr>
                <w:rFonts w:eastAsia="Arial" w:cs="Arial"/>
                <w:b/>
                <w:bCs/>
                <w:color w:val="1E6B3C"/>
                <w:sz w:val="22"/>
                <w:szCs w:val="22"/>
              </w:rPr>
              <w:t>Incluido — Tal como se solicitó</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18"/>
              </w:numPr>
              <w:spacing w:before="20" w:after="20"/>
              <w:rPr/>
            </w:pPr>
            <w:r>
              <w:rPr>
                <w:rFonts w:eastAsia="Arial" w:cs="Arial"/>
                <w:color w:val="1E6B3C"/>
                <w:sz w:val="21"/>
                <w:szCs w:val="21"/>
              </w:rPr>
              <w:t>Interfaz React + TypeScript para consulta de historial académico completo.</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19"/>
              </w:numPr>
              <w:spacing w:before="20" w:after="20"/>
              <w:rPr/>
            </w:pPr>
            <w:r>
              <w:rPr>
                <w:rFonts w:eastAsia="Arial" w:cs="Arial"/>
                <w:color w:val="1E6B3C"/>
                <w:sz w:val="21"/>
                <w:szCs w:val="21"/>
              </w:rPr>
              <w:t>Las notas incluyen: materia, docente, fecha de carga, nota parcial, nota final y estado (abierta / cerrada).</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20"/>
              </w:numPr>
              <w:spacing w:before="20" w:after="20"/>
              <w:rPr/>
            </w:pPr>
            <w:r>
              <w:rPr>
                <w:rFonts w:eastAsia="Arial" w:cs="Arial"/>
                <w:color w:val="1E6B3C"/>
                <w:sz w:val="21"/>
                <w:szCs w:val="21"/>
              </w:rPr>
              <w:t>Los docentes cargan notas desde el mismo frontend con su JWT de rol docente.</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21"/>
              </w:numPr>
              <w:spacing w:before="20" w:after="20"/>
              <w:rPr/>
            </w:pPr>
            <w:r>
              <w:rPr>
                <w:rFonts w:eastAsia="Arial" w:cs="Arial"/>
                <w:color w:val="1E6B3C"/>
                <w:sz w:val="21"/>
                <w:szCs w:val="21"/>
              </w:rPr>
              <w:t>Endpoint REST en Spring Boot: GET /api/alumnos/{id}/notas — protegido por JWT.</w:t>
            </w:r>
          </w:p>
        </w:tc>
      </w:tr>
    </w:tbl>
    <w:p>
      <w:pPr>
        <w:pStyle w:val="Normal"/>
        <w:spacing w:before="100" w:after="100"/>
        <w:rPr/>
      </w:pPr>
      <w:r>
        <w:rPr/>
      </w:r>
    </w:p>
    <w:p>
      <w:pPr>
        <w:pStyle w:val="Heading2"/>
        <w:spacing w:before="240" w:after="80"/>
        <w:rPr/>
      </w:pPr>
      <w:r>
        <w:rPr>
          <w:rFonts w:eastAsia="Arial" w:cs="Arial" w:ascii="Arial" w:hAnsi="Arial"/>
          <w:b/>
          <w:bCs/>
          <w:color w:val="2E75B6"/>
          <w:sz w:val="24"/>
          <w:szCs w:val="24"/>
        </w:rPr>
        <w:t>5.3  Inmutabilidad de Notas — Alternativa a Blockchain</w:t>
      </w:r>
    </w:p>
    <w:tbl>
      <w:tblPr>
        <w:tblW w:w="9360" w:type="dxa"/>
        <w:jc w:val="left"/>
        <w:tblInd w:w="0" w:type="dxa"/>
        <w:tblLayout w:type="fixed"/>
        <w:tblCellMar>
          <w:top w:w="120" w:type="dxa"/>
          <w:left w:w="160" w:type="dxa"/>
          <w:bottom w:w="60" w:type="dxa"/>
          <w:right w:w="16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DF2E0" w:val="clear"/>
          </w:tcPr>
          <w:p>
            <w:pPr>
              <w:pStyle w:val="Normal"/>
              <w:rPr/>
            </w:pPr>
            <w:r>
              <w:rPr>
                <w:rFonts w:eastAsia="Arial" w:cs="Arial"/>
                <w:b/>
                <w:bCs/>
                <w:color w:val="7B4A14"/>
                <w:sz w:val="22"/>
                <w:szCs w:val="22"/>
              </w:rPr>
              <w:t xml:space="preserve">🔄 </w:t>
            </w:r>
            <w:r>
              <w:rPr>
                <w:rFonts w:eastAsia="Arial" w:cs="Arial"/>
                <w:b/>
                <w:bCs/>
                <w:color w:val="7B4A14"/>
                <w:sz w:val="22"/>
                <w:szCs w:val="22"/>
              </w:rPr>
              <w:t>Reformulado — Solución equivalente sobre MySQL + Spring Boot</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22"/>
              </w:numPr>
              <w:spacing w:before="20" w:after="20"/>
              <w:rPr/>
            </w:pPr>
            <w:r>
              <w:rPr>
                <w:rFonts w:eastAsia="Arial" w:cs="Arial"/>
                <w:color w:val="7B4A14"/>
                <w:sz w:val="21"/>
                <w:szCs w:val="21"/>
              </w:rPr>
              <w:t>Una vez que el docente llama a POST /api/actas/{id}/cerrar, Hibernate actualiza el estado del acta a CERRADA y bloquea cualquier UPDATE posterior a nivel de lógica de negocio en Spring Boot.</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23"/>
              </w:numPr>
              <w:spacing w:before="20" w:after="20"/>
              <w:rPr/>
            </w:pPr>
            <w:r>
              <w:rPr>
                <w:rFonts w:eastAsia="Arial" w:cs="Arial"/>
                <w:color w:val="7B4A14"/>
                <w:sz w:val="21"/>
                <w:szCs w:val="21"/>
              </w:rPr>
              <w:t>Una tabla de auditoría en MySQL registra cada operación: usuario (JWT), timestamp, IP, valor anterior y hash encadenado del registro previo.</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24"/>
              </w:numPr>
              <w:spacing w:before="20" w:after="20"/>
              <w:rPr/>
            </w:pPr>
            <w:r>
              <w:rPr>
                <w:rFonts w:eastAsia="Arial" w:cs="Arial"/>
                <w:color w:val="7B4A14"/>
                <w:sz w:val="21"/>
                <w:szCs w:val="21"/>
              </w:rPr>
              <w:t>Modificaciones posteriores al cierre requieren proceso formal de rectificación con aprobación de dos administradores, registrado en la misma tabla de auditoría.</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25"/>
              </w:numPr>
              <w:spacing w:before="20" w:after="20"/>
              <w:rPr/>
            </w:pPr>
            <w:r>
              <w:rPr>
                <w:rFonts w:eastAsia="Arial" w:cs="Arial"/>
                <w:color w:val="7B4A14"/>
                <w:sz w:val="21"/>
                <w:szCs w:val="21"/>
              </w:rPr>
              <w:t>Los logs son accesibles para el Decanato vía endpoint protegido: GET /api/auditoría.</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26"/>
              </w:numPr>
              <w:spacing w:before="20" w:after="20"/>
              <w:rPr/>
            </w:pPr>
            <w:r>
              <w:rPr>
                <w:rFonts w:eastAsia="Arial" w:cs="Arial"/>
                <w:color w:val="7B4A14"/>
                <w:sz w:val="21"/>
                <w:szCs w:val="21"/>
              </w:rPr>
              <w:t>Los respaldos de MySQL se almacenan en almacenamiento inmutable con retención de 5 años.</w:t>
            </w:r>
          </w:p>
        </w:tc>
      </w:tr>
    </w:tbl>
    <w:p>
      <w:pPr>
        <w:pStyle w:val="Normal"/>
        <w:spacing w:before="100" w:after="10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FF8E1" w:val="clear"/>
          </w:tcPr>
          <w:p>
            <w:pPr>
              <w:pStyle w:val="Normal"/>
              <w:spacing w:before="0" w:after="60"/>
              <w:rPr/>
            </w:pPr>
            <w:r>
              <w:rPr>
                <w:rFonts w:eastAsia="Arial" w:cs="Arial"/>
                <w:b/>
                <w:bCs/>
                <w:color w:val="7B4A14"/>
                <w:sz w:val="22"/>
                <w:szCs w:val="22"/>
              </w:rPr>
              <w:t>¿Por qué no Blockchain?</w:t>
            </w:r>
          </w:p>
          <w:p>
            <w:pPr>
              <w:pStyle w:val="Normal"/>
              <w:spacing w:before="0" w:after="0"/>
              <w:rPr/>
            </w:pPr>
            <w:r>
              <w:rPr>
                <w:rFonts w:eastAsia="Arial" w:cs="Arial"/>
                <w:color w:val="333333"/>
                <w:sz w:val="21"/>
                <w:szCs w:val="21"/>
              </w:rPr>
              <w:t>Blockchain resuelve confianza entre partes sin autoridad central. La universidad es la autoridad central. Implementar Blockchain sobre esta stack (Java + MySQL) agregaría complejidad extrema, nodos externos, costos de infraestructura altos y tiempos de escritura lentos, sin ningún beneficio adicional. La tabla de auditoría encadenada en MySQL resuelve exactamente el problema planteado: el docente no puede modificar una nota cerrada.</w:t>
            </w:r>
          </w:p>
        </w:tc>
      </w:tr>
    </w:tbl>
    <w:p>
      <w:pPr>
        <w:pStyle w:val="Normal"/>
        <w:spacing w:before="100" w:after="100"/>
        <w:rPr/>
      </w:pPr>
      <w:r>
        <w:rPr/>
      </w:r>
    </w:p>
    <w:p>
      <w:pPr>
        <w:pStyle w:val="Normal"/>
        <w:rPr/>
      </w:pPr>
      <w:r>
        <w:rPr/>
      </w:r>
      <w:r>
        <w:br w:type="page"/>
      </w:r>
    </w:p>
    <w:p>
      <w:pPr>
        <w:pStyle w:val="Heading2"/>
        <w:spacing w:before="0" w:after="80"/>
        <w:rPr/>
      </w:pPr>
      <w:r>
        <w:rPr>
          <w:rFonts w:eastAsia="Arial" w:cs="Arial" w:ascii="Arial" w:hAnsi="Arial"/>
          <w:b/>
          <w:bCs/>
          <w:color w:val="2E75B6"/>
          <w:sz w:val="24"/>
          <w:szCs w:val="24"/>
        </w:rPr>
        <w:t>5.4  Gestión de Materias, Períodos y Alumnos por el Administrador</w:t>
      </w:r>
    </w:p>
    <w:tbl>
      <w:tblPr>
        <w:tblW w:w="9360" w:type="dxa"/>
        <w:jc w:val="left"/>
        <w:tblInd w:w="0" w:type="dxa"/>
        <w:tblLayout w:type="fixed"/>
        <w:tblCellMar>
          <w:top w:w="120" w:type="dxa"/>
          <w:left w:w="160" w:type="dxa"/>
          <w:bottom w:w="60" w:type="dxa"/>
          <w:right w:w="16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D6F0E0" w:val="clear"/>
          </w:tcPr>
          <w:p>
            <w:pPr>
              <w:pStyle w:val="Normal"/>
              <w:rPr/>
            </w:pPr>
            <w:r>
              <w:rPr>
                <w:rFonts w:eastAsia="Arial" w:cs="Arial"/>
                <w:b/>
                <w:bCs/>
                <w:color w:val="1E6B3C"/>
                <w:sz w:val="22"/>
                <w:szCs w:val="22"/>
              </w:rPr>
              <w:t xml:space="preserve">✅ </w:t>
            </w:r>
            <w:r>
              <w:rPr>
                <w:rFonts w:eastAsia="Arial" w:cs="Arial"/>
                <w:b/>
                <w:bCs/>
                <w:color w:val="1E6B3C"/>
                <w:sz w:val="22"/>
                <w:szCs w:val="22"/>
              </w:rPr>
              <w:t>Incluido — Tal como se solicitó</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27"/>
              </w:numPr>
              <w:spacing w:before="20" w:after="20"/>
              <w:rPr/>
            </w:pPr>
            <w:r>
              <w:rPr>
                <w:rFonts w:eastAsia="Arial" w:cs="Arial"/>
                <w:color w:val="1E6B3C"/>
                <w:sz w:val="21"/>
                <w:szCs w:val="21"/>
              </w:rPr>
              <w:t>El administrador podrá crear, editar y eliminar materias desde el panel de administración React. Cada materia incluye: nombre, código, departamento, cupo máximo y descripción.</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28"/>
              </w:numPr>
              <w:spacing w:before="20" w:after="20"/>
              <w:rPr/>
            </w:pPr>
            <w:r>
              <w:rPr>
                <w:rFonts w:eastAsia="Arial" w:cs="Arial"/>
                <w:color w:val="1E6B3C"/>
                <w:sz w:val="21"/>
                <w:szCs w:val="21"/>
              </w:rPr>
              <w:t>El administrador podrá gestionar períodos académicos: crear períodos (cuatrimestre / anual), definir fechas de inicio y fin, y habilitarlos o deshabilitarlos para inscripción. Solo un período puede estar activo para inscripciones en un momento dado.</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29"/>
              </w:numPr>
              <w:spacing w:before="20" w:after="20"/>
              <w:rPr/>
            </w:pPr>
            <w:r>
              <w:rPr>
                <w:rFonts w:eastAsia="Arial" w:cs="Arial"/>
                <w:color w:val="1E6B3C"/>
                <w:sz w:val="21"/>
                <w:szCs w:val="21"/>
              </w:rPr>
              <w:t>El administrador podrá registrar nuevos alumnos, editar sus datos (nombre, DNI, correo institucional, carrera) y dar de baja cuentas. El alta genera automáticamente un JWT con rol alumno y envía credenciales por correo.</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30"/>
              </w:numPr>
              <w:spacing w:before="20" w:after="20"/>
              <w:rPr/>
            </w:pPr>
            <w:r>
              <w:rPr>
                <w:rFonts w:eastAsia="Arial" w:cs="Arial"/>
                <w:color w:val="1E6B3C"/>
                <w:sz w:val="21"/>
                <w:szCs w:val="21"/>
              </w:rPr>
              <w:t>Todas las operaciones del administrador sobre materias, períodos y alumnos quedan registradas en la tabla de auditoría con timestamp, usuario y acción realizada. Endpoints REST en Spring Boot: POST/PUT/DELETE /api/admin/materias, /api/admin/periodos y /api/admin/alumnos, todos protegidos por JWT con rol admin.</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31"/>
              </w:numPr>
              <w:spacing w:before="20" w:after="20"/>
              <w:rPr/>
            </w:pPr>
            <w:r>
              <w:rPr>
                <w:rFonts w:eastAsia="Arial" w:cs="Arial"/>
                <w:color w:val="1E6B3C"/>
                <w:sz w:val="21"/>
                <w:szCs w:val="21"/>
              </w:rPr>
              <w:t>La interfaz de administración incluirá búsqueda, filtrado y paginación sobre los listados de materias, períodos y alumnos para facilitar la gestión con grandes volúmenes de datos.</w:t>
            </w:r>
          </w:p>
        </w:tc>
      </w:tr>
    </w:tbl>
    <w:p>
      <w:pPr>
        <w:pStyle w:val="Normal"/>
        <w:spacing w:before="0" w:after="0"/>
        <w:rPr/>
      </w:pPr>
      <w:r>
        <w:rPr/>
      </w:r>
    </w:p>
    <w:p>
      <w:pPr>
        <w:pStyle w:val="Heading1"/>
        <w:pBdr>
          <w:bottom w:val="single" w:sz="6" w:space="4" w:color="1F4E79"/>
        </w:pBdr>
        <w:spacing w:before="0" w:after="120"/>
        <w:rPr/>
      </w:pPr>
      <w:r>
        <w:rPr>
          <w:rFonts w:eastAsia="Arial" w:cs="Arial" w:ascii="Arial" w:hAnsi="Arial"/>
          <w:b/>
          <w:bCs/>
          <w:color w:val="1F4E79"/>
          <w:sz w:val="28"/>
          <w:szCs w:val="28"/>
        </w:rPr>
        <w:t>6. Funcionalidades Fuera del Alcance</w:t>
      </w:r>
    </w:p>
    <w:p>
      <w:pPr>
        <w:pStyle w:val="Heading2"/>
        <w:spacing w:before="240" w:after="80"/>
        <w:rPr/>
      </w:pPr>
      <w:r>
        <w:rPr>
          <w:rFonts w:eastAsia="Arial" w:cs="Arial" w:ascii="Arial" w:hAnsi="Arial"/>
          <w:b/>
          <w:bCs/>
          <w:color w:val="2E75B6"/>
          <w:sz w:val="24"/>
          <w:szCs w:val="24"/>
        </w:rPr>
        <w:t>6.1  Análisis Facial para Sugerencia de Materias</w:t>
      </w:r>
    </w:p>
    <w:tbl>
      <w:tblPr>
        <w:tblW w:w="9360" w:type="dxa"/>
        <w:jc w:val="left"/>
        <w:tblInd w:w="0" w:type="dxa"/>
        <w:tblLayout w:type="fixed"/>
        <w:tblCellMar>
          <w:top w:w="120" w:type="dxa"/>
          <w:left w:w="160" w:type="dxa"/>
          <w:bottom w:w="60" w:type="dxa"/>
          <w:right w:w="16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AE0E0" w:val="clear"/>
          </w:tcPr>
          <w:p>
            <w:pPr>
              <w:pStyle w:val="Normal"/>
              <w:rPr/>
            </w:pPr>
            <w:r>
              <w:rPr>
                <w:rFonts w:eastAsia="Arial" w:cs="Arial"/>
                <w:b/>
                <w:bCs/>
                <w:color w:val="7B1414"/>
                <w:sz w:val="22"/>
                <w:szCs w:val="22"/>
              </w:rPr>
              <w:t xml:space="preserve">❌ </w:t>
            </w:r>
            <w:r>
              <w:rPr>
                <w:rFonts w:eastAsia="Arial" w:cs="Arial"/>
                <w:b/>
                <w:bCs/>
                <w:color w:val="7B1414"/>
                <w:sz w:val="22"/>
                <w:szCs w:val="22"/>
              </w:rPr>
              <w:t>Excluido — Razones técnicas, éticas y legales</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32"/>
              </w:numPr>
              <w:spacing w:before="20" w:after="20"/>
              <w:rPr/>
            </w:pPr>
            <w:r>
              <w:rPr>
                <w:rFonts w:eastAsia="Arial" w:cs="Arial"/>
                <w:color w:val="7B1414"/>
                <w:sz w:val="21"/>
                <w:szCs w:val="21"/>
              </w:rPr>
              <w:t>LEGAL: La Ley 25.326 clasifica los datos biométricos como sensibles. Su recolección requiere consentimiento explícito e informado.</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33"/>
              </w:numPr>
              <w:spacing w:before="20" w:after="20"/>
              <w:rPr/>
            </w:pPr>
            <w:r>
              <w:rPr>
                <w:rFonts w:eastAsia="Arial" w:cs="Arial"/>
                <w:color w:val="7B1414"/>
                <w:sz w:val="21"/>
                <w:szCs w:val="21"/>
              </w:rPr>
              <w:t>ÉTICO: Inferir preferencias académicas de rasgos físicos no tiene sustento científico y genera sesgos discriminatorios.</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34"/>
              </w:numPr>
              <w:spacing w:before="20" w:after="20"/>
              <w:rPr/>
            </w:pPr>
            <w:r>
              <w:rPr>
                <w:rFonts w:eastAsia="Arial" w:cs="Arial"/>
                <w:color w:val="7B1414"/>
                <w:sz w:val="21"/>
                <w:szCs w:val="21"/>
              </w:rPr>
              <w:t>TÉCNICO: Integrar modelos de visión computacional en este stack (React + Spring Boot + MySQL) requeriría una capa adicional de ML no contemplada y con alta tasa de error.</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35"/>
              </w:numPr>
              <w:spacing w:before="20" w:after="20"/>
              <w:rPr/>
            </w:pPr>
            <w:r>
              <w:rPr>
                <w:rFonts w:eastAsia="Arial" w:cs="Arial"/>
                <w:color w:val="7B1414"/>
                <w:sz w:val="21"/>
                <w:szCs w:val="21"/>
              </w:rPr>
              <w:t>ALTERNATIVA INCLUIDA EN ALCANCE: Motor de recomendación de optativas basado en historial académico del alumno (materias aprobadas, área declarada). Implementado como microservicio REST consumido desde el frontend React.</w:t>
            </w:r>
          </w:p>
        </w:tc>
      </w:tr>
    </w:tbl>
    <w:p>
      <w:pPr>
        <w:pStyle w:val="Normal"/>
        <w:spacing w:before="100" w:after="100"/>
        <w:rPr/>
      </w:pPr>
      <w:r>
        <w:rPr/>
      </w:r>
    </w:p>
    <w:p>
      <w:pPr>
        <w:pStyle w:val="Heading2"/>
        <w:spacing w:before="240" w:after="80"/>
        <w:rPr/>
      </w:pPr>
      <w:r>
        <w:rPr>
          <w:rFonts w:eastAsia="Arial" w:cs="Arial" w:ascii="Arial" w:hAnsi="Arial"/>
          <w:b/>
          <w:bCs/>
          <w:color w:val="2E75B6"/>
          <w:sz w:val="24"/>
          <w:szCs w:val="24"/>
        </w:rPr>
        <w:t>6.2  Acceso de Padres con 'Llave Maestra' sin conocimiento del alumno</w:t>
      </w:r>
    </w:p>
    <w:tbl>
      <w:tblPr>
        <w:tblW w:w="9360" w:type="dxa"/>
        <w:jc w:val="left"/>
        <w:tblInd w:w="0" w:type="dxa"/>
        <w:tblLayout w:type="fixed"/>
        <w:tblCellMar>
          <w:top w:w="120" w:type="dxa"/>
          <w:left w:w="160" w:type="dxa"/>
          <w:bottom w:w="60" w:type="dxa"/>
          <w:right w:w="16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AE0E0" w:val="clear"/>
          </w:tcPr>
          <w:p>
            <w:pPr>
              <w:pStyle w:val="Normal"/>
              <w:rPr/>
            </w:pPr>
            <w:r>
              <w:rPr>
                <w:rFonts w:eastAsia="Arial" w:cs="Arial"/>
                <w:b/>
                <w:bCs/>
                <w:color w:val="7B1414"/>
                <w:sz w:val="22"/>
                <w:szCs w:val="22"/>
              </w:rPr>
              <w:t xml:space="preserve">❌ </w:t>
            </w:r>
            <w:r>
              <w:rPr>
                <w:rFonts w:eastAsia="Arial" w:cs="Arial"/>
                <w:b/>
                <w:bCs/>
                <w:color w:val="7B1414"/>
                <w:sz w:val="22"/>
                <w:szCs w:val="22"/>
              </w:rPr>
              <w:t>Excluido — Violación de derechos del titular de datos</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36"/>
              </w:numPr>
              <w:spacing w:before="20" w:after="20"/>
              <w:rPr/>
            </w:pPr>
            <w:r>
              <w:rPr>
                <w:rFonts w:eastAsia="Arial" w:cs="Arial"/>
                <w:color w:val="7B1414"/>
                <w:sz w:val="21"/>
                <w:szCs w:val="21"/>
              </w:rPr>
              <w:t>LEGAL: Los alumnos universitarios son mayores de edad y titulares exclusivos de sus datos personales (Ley 25.326). Un acceso encubierto expone a la institución ante la AAIP.</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37"/>
              </w:numPr>
              <w:spacing w:before="20" w:after="20"/>
              <w:rPr/>
            </w:pPr>
            <w:r>
              <w:rPr>
                <w:rFonts w:eastAsia="Arial" w:cs="Arial"/>
                <w:color w:val="7B1414"/>
                <w:sz w:val="21"/>
                <w:szCs w:val="21"/>
              </w:rPr>
              <w:t>TÉCNICO: Implementar un token JWT de acceso encubierto violaría el principio de mínimo privilegio y comprometería la integridad del sistema de autenticación.</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60" w:type="dxa"/>
            </w:tcMar>
          </w:tcPr>
          <w:p>
            <w:pPr>
              <w:pStyle w:val="ListParagraph"/>
              <w:numPr>
                <w:ilvl w:val="0"/>
                <w:numId w:val="38"/>
              </w:numPr>
              <w:spacing w:before="20" w:after="20"/>
              <w:rPr/>
            </w:pPr>
            <w:r>
              <w:rPr>
                <w:rFonts w:eastAsia="Arial" w:cs="Arial"/>
                <w:color w:val="7B1414"/>
                <w:sz w:val="21"/>
                <w:szCs w:val="21"/>
              </w:rPr>
              <w:t>ALTERNATIVA POSIBLE (previa aprobación legal): Sistema de delegación explícita donde el alumno autoriza activamente a un familiar a ver información seleccionada. Requiere revisión legal antes de incorporarse al alcance.</w:t>
            </w:r>
          </w:p>
        </w:tc>
      </w:tr>
    </w:tbl>
    <w:p>
      <w:pPr>
        <w:pStyle w:val="Normal"/>
        <w:spacing w:before="100" w:after="100"/>
        <w:rPr>
          <w:rFonts w:ascii="Arial" w:hAnsi="Arial" w:eastAsia="Arial" w:cs="Arial"/>
          <w:b/>
          <w:bCs/>
          <w:i/>
          <w:i/>
          <w:iCs/>
          <w:color w:val="595959"/>
          <w:sz w:val="22"/>
          <w:szCs w:val="22"/>
        </w:rPr>
      </w:pPr>
      <w:r>
        <w:rPr>
          <w:rFonts w:eastAsia="Arial" w:cs="Arial" w:ascii="Arial" w:hAnsi="Arial"/>
          <w:b/>
          <w:bCs/>
          <w:i/>
          <w:iCs/>
          <w:color w:val="595959"/>
          <w:sz w:val="22"/>
          <w:szCs w:val="22"/>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1F4E79"/>
      </w:pBdr>
      <w:tabs>
        <w:tab w:val="clear" w:pos="720"/>
        <w:tab w:val="right" w:pos="9026" w:leader="none"/>
      </w:tabs>
      <w:rPr/>
    </w:pPr>
    <w:r>
      <w:rPr>
        <w:rFonts w:eastAsia="Arial" w:cs="Arial"/>
        <w:color w:val="595959"/>
        <w:sz w:val="18"/>
        <w:szCs w:val="18"/>
      </w:rPr>
      <w:tab/>
      <w:t xml:space="preserve">Página </w:t>
    </w: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1F4E79"/>
      </w:pBdr>
      <w:tabs>
        <w:tab w:val="clear" w:pos="720"/>
        <w:tab w:val="right" w:pos="9026" w:leader="none"/>
      </w:tabs>
      <w:rPr/>
    </w:pPr>
    <w:r>
      <w:rPr>
        <w:rFonts w:eastAsia="Arial" w:cs="Arial"/>
        <w:color w:val="595959"/>
        <w:sz w:val="18"/>
        <w:szCs w:val="18"/>
      </w:rPr>
      <w:tab/>
      <w:t xml:space="preserve">Página </w:t>
    </w:r>
    <w:r>
      <w:rPr/>
      <w:fldChar w:fldCharType="begin"/>
    </w:r>
    <w:r>
      <w:rPr/>
      <w:instrText xml:space="preserve"> PAGE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F4E79"/>
      </w:pBdr>
      <w:rPr>
        <w:rFonts w:eastAsia="Arial" w:cs="Arial"/>
        <w:color w:val="595959"/>
        <w:sz w:val="18"/>
        <w:szCs w:val="18"/>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F4E79"/>
      </w:pBdr>
      <w:rPr>
        <w:rFonts w:eastAsia="Arial" w:cs="Arial"/>
        <w:color w:val="595959"/>
        <w:sz w:val="18"/>
        <w:szCs w:val="18"/>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s-ES"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28"/>
    </w:rPr>
  </w:style>
  <w:style w:type="paragraph" w:styleId="Heading2">
    <w:name w:val="Heading 2"/>
    <w:basedOn w:val="Heading"/>
    <w:qFormat/>
    <w:pPr>
      <w:spacing w:before="240" w:after="80"/>
      <w:outlineLvl w:val="1"/>
    </w:pPr>
    <w:rPr>
      <w:rFonts w:ascii="Arial" w:hAnsi="Arial" w:eastAsia="Arial" w:cs="Arial"/>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s-E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153</TotalTime>
  <Application>LibreOffice/24.2.7.2$Linux_X86_64 LibreOffice_project/420$Build-2</Application>
  <AppVersion>15.0000</AppVersion>
  <Pages>8</Pages>
  <Words>1298</Words>
  <Characters>7470</Characters>
  <CharactersWithSpaces>8646</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2026-03-29T23:26:57Z</dcterms:created>
  <dc:creator>Un-named</dc:creator>
  <dc:description/>
  <dc:language>es-ES</dc:language>
  <cp:lastModifiedBy/>
  <dcterms:modified xsi:type="dcterms:W3CDTF">2026-03-30T11:11:18Z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