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s22s2bqvg9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Base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ks9t6037gd1r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📁 Arquivo 1: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8398_e_8399.xlsm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— O coração da análise (planilha mestra)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ação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8398</w:t>
      </w:r>
      <w:r w:rsidDel="00000000" w:rsidR="00000000" w:rsidRPr="00000000">
        <w:rPr>
          <w:sz w:val="24"/>
          <w:szCs w:val="24"/>
          <w:rtl w:val="0"/>
        </w:rPr>
        <w:t xml:space="preserve"> é a ação orçamentária de manutenção rodoviária do DER-PR. A 8399 foi descontinuada em 2026 e migrada para a 8398 — isso importa na hora de fazer comparações históricas.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Aba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8398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(dados brutos):</w:t>
      </w:r>
      <w:r w:rsidDel="00000000" w:rsidR="00000000" w:rsidRPr="00000000">
        <w:rPr>
          <w:sz w:val="24"/>
          <w:szCs w:val="24"/>
          <w:rtl w:val="0"/>
        </w:rPr>
        <w:t xml:space="preserve"> A extração orçamentária crua do sistema — linha a linha, por natureza de despesa, meta física, município, ano. É a fonte primária de tudo.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Aba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8398_tratada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A versão limpa e enriquecida da aba anterior. Cada linha ganhou classificações como "Custeio" ou "Investimento", foi associada a um subprograma (ex: FAIXA, COP, PROCONSERVA) e recebeu um status de classificabilidade. É a base que alimenta todas as análises.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Aba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de_para_subprograma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A tabela de correspondência que traduz cada chave de meta física para um subprograma do piloto. Revela a lógica de agrupamento: ex., "reparos de defeitos" → COP; "conservação de faixa de domínio" → FAIXA; "restauração" → PRORESTAURA.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Aba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financeiro_subprograma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O resumo financeiro por subprograma — orçamento, empenho, liquidação e pagamento. O achado central aqui é que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PROCONSERVA domina</w:t>
      </w:r>
      <w:r w:rsidDel="00000000" w:rsidR="00000000" w:rsidRPr="00000000">
        <w:rPr>
          <w:sz w:val="24"/>
          <w:szCs w:val="24"/>
          <w:rtl w:val="0"/>
        </w:rPr>
        <w:t xml:space="preserve"> com 57% de tudo que foi liquidado, seguido 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COP</w:t>
      </w:r>
      <w:r w:rsidDel="00000000" w:rsidR="00000000" w:rsidRPr="00000000">
        <w:rPr>
          <w:sz w:val="24"/>
          <w:szCs w:val="24"/>
          <w:rtl w:val="0"/>
        </w:rPr>
        <w:t xml:space="preserve"> com 26%. Já CREMEP, NÃO PAVIMENTADAS e RECOMPOSIÇÃO têm liquidado zero na base, o que aponta problema de rastreabilidade, não de inexistência.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Aba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fisico_subprograma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Cruza as quantidades físicas executadas (em km) com os valores contratuais por subprograma. Daqui saem 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custos unitários por km</w:t>
      </w:r>
      <w:r w:rsidDel="00000000" w:rsidR="00000000" w:rsidRPr="00000000">
        <w:rPr>
          <w:sz w:val="24"/>
          <w:szCs w:val="24"/>
          <w:rtl w:val="0"/>
        </w:rPr>
        <w:t xml:space="preserve"> — um dado estratégico. O CREMEP custa ~R$ 484 mil/km (o mais caro, por ser recuperação mais profunda), o COP ~R$ 209 mil/km, o INTEGRA ~R$ 66 mil/km, a FAIXA ~R$ 32 mil/km (mais barata, é roçada/limpeza).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Aba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conversao_subprograma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Avalia a qualidade da execução de cada subprograma cruzando financeiro + físico. COP, FAIXA e INTEGRA aparecem com desempenho "Alto" — conversão física-financeira mensurável e consistente. CREMEP aparece como "Médio" por falta de liquidado explícito.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Aba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passivos_subprograma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subprograma_x_passivo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Mapeia 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passivos contratuais</w:t>
      </w:r>
      <w:r w:rsidDel="00000000" w:rsidR="00000000" w:rsidRPr="00000000">
        <w:rPr>
          <w:sz w:val="24"/>
          <w:szCs w:val="24"/>
          <w:rtl w:val="0"/>
        </w:rPr>
        <w:t xml:space="preserve"> por subprograma — dívidas acumuladas não quitadas. PROCONSERVA tem o maior passivo em valor (ICMS + insumos), seguido de COP. Isso é um dado sensível: revela pressão financeira que vai além da execução orçamentária corrente.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Aba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subprograma_x_regiao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Distribui o gasto financeiro por regional do DER. Ainda é um recorte geral (código 4100 = Geral), o que indica que a regionalização mais fina ainda está em desenvolvimento.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Aba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achados_piloto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 é a aba mais importante para a apresentação.</w:t>
      </w:r>
      <w:r w:rsidDel="00000000" w:rsidR="00000000" w:rsidRPr="00000000">
        <w:rPr>
          <w:sz w:val="24"/>
          <w:szCs w:val="24"/>
          <w:rtl w:val="0"/>
        </w:rPr>
        <w:t xml:space="preserve"> Ela lista os principais achados organizados em blocos temáticos com a evidência de base e a implicação gerencial. Resume tudo que o piloto quer comunicar: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execução é predominantemente via contratos de custeio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dados precisam ser lidos ano a ano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transição 8398/8399 não deve ser interpretada como queda de desempenho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PROCONSERVA e COP concentram o esforço financeiro e devem ser o foco de eficiência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Passivos estão concentrados em subprogramas específicos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malha melhorou historicamente (71% Boa+Ótima, 3% Ruim+Péssima)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PROMAC e PRORESTAURA têm baixa execução física, mas por razões distintas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Aba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contratos_reclassificados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Registra os ajustes manuais feitos na classificação de contratos — contratos PROMAC que estavam incorretamente marcados como PRORESTAURA, e uma obra PRORESTAURA que estava como OBRAS. Dá transparência metodológica ao tratamento.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Aba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fisico_revisado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Resume a decisão de separar PROMAC e PRORESTAURA. PROMAC tem R$ 4,35 bilhões em contratos mas apenas 1% executado — contratos grandes com OS pendente. PRORESTAURA tem R$ 96 mi em obra específica, ainda em fase inicial. A mensagem para os slides é: ambos têm baixa execução, mas por razões completamente diferentes.</w:t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arh13dxu5zij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📁 Arquivo 2: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Contratos OPR -VF.xlsx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— Base de contratos da OPR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Aba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Planilha1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(dados brutos):</w:t>
      </w:r>
      <w:r w:rsidDel="00000000" w:rsidR="00000000" w:rsidRPr="00000000">
        <w:rPr>
          <w:sz w:val="24"/>
          <w:szCs w:val="24"/>
          <w:rtl w:val="0"/>
        </w:rPr>
        <w:t xml:space="preserve"> Respostas consolidadas do DER a um questionário de 9 perguntas sobre cada programa de manutenção — meta física, descrição, quantitativo, parecer de execução, status, valores, passivos, custo padrão, indicadores de qualidade da malha, série histórica, diferenças regionais, relatórios e planejamento estratégico. É a fonte documental que respaldou o tratamento.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Aba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contratos_tratada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A versão estruturada em banco de dados — 95 linhas com 18 colunas. Cada linha é uma combinação de meta física + tipo + período + status. Revela que há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R$ 9,97 bilhões em contratos totais</w:t>
      </w:r>
      <w:r w:rsidDel="00000000" w:rsidR="00000000" w:rsidRPr="00000000">
        <w:rPr>
          <w:sz w:val="24"/>
          <w:szCs w:val="24"/>
          <w:rtl w:val="0"/>
        </w:rPr>
        <w:t xml:space="preserve">, dos quais R$ 4,75 bilhões já foram executados e R$ 5,22 bilhões são saldo a executar. Os status variam entre "Andamento", "Execução concluída", "Rescindido", "Aguardando OS" e "Encerrado". Os 11 programas mapeados vão desde conservação de faixa de domínio até pontes, viadutos, rodovias não pavimentadas e o INTEGRA PARANÁ (trechos concessionados).</w:t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it908a1ny6u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📁 Arquivo 3: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DER- Mapa municípios.xlsx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— Classificação analítica dos municípios do piloto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Aba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Base mapa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21 municípios classificados com coordenadas geográficas, IDH, regional do DER e dois eixos analíticos cruzados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vulnerabilidade social</w:t>
      </w:r>
      <w:r w:rsidDel="00000000" w:rsidR="00000000" w:rsidRPr="00000000">
        <w:rPr>
          <w:sz w:val="24"/>
          <w:szCs w:val="24"/>
          <w:rtl w:val="0"/>
        </w:rPr>
        <w:t xml:space="preserve"> (IDH)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relevância logística</w:t>
      </w:r>
      <w:r w:rsidDel="00000000" w:rsidR="00000000" w:rsidRPr="00000000">
        <w:rPr>
          <w:sz w:val="24"/>
          <w:szCs w:val="24"/>
          <w:rtl w:val="0"/>
        </w:rPr>
        <w:t xml:space="preserve"> (proxy ONTL). O cruzamento gera 4 categorias: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Paradoxo territorial</w:t>
      </w:r>
      <w:r w:rsidDel="00000000" w:rsidR="00000000" w:rsidRPr="00000000">
        <w:rPr>
          <w:sz w:val="24"/>
          <w:szCs w:val="24"/>
          <w:rtl w:val="0"/>
        </w:rPr>
        <w:t xml:space="preserve"> (2 municípios — Agudos do Sul e Reserva): IDH baixo + alta relevância logística. São os casos mais sensíveis: a estrada é essencial tanto para a economia quanto para o acesso da população a serviços.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Só logístico</w:t>
      </w:r>
      <w:r w:rsidDel="00000000" w:rsidR="00000000" w:rsidRPr="00000000">
        <w:rPr>
          <w:sz w:val="24"/>
          <w:szCs w:val="24"/>
          <w:rtl w:val="0"/>
        </w:rPr>
        <w:t xml:space="preserve"> (4 municípios — Piên, Rolândia, Santo Antônio da Platina, União da Vitória): IDH razoável, mas importância logística alta. Prioridade econômica.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Só vulnerável</w:t>
      </w:r>
      <w:r w:rsidDel="00000000" w:rsidR="00000000" w:rsidRPr="00000000">
        <w:rPr>
          <w:sz w:val="24"/>
          <w:szCs w:val="24"/>
          <w:rtl w:val="0"/>
        </w:rPr>
        <w:t xml:space="preserve"> (6 municípios — Cerro Azul, Curiúva, Francisco Alves, Pinhão, Três Barras, Ventania): IDH baixo, relevância logística menor. Risco de subpriorização.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Neutro</w:t>
      </w:r>
      <w:r w:rsidDel="00000000" w:rsidR="00000000" w:rsidRPr="00000000">
        <w:rPr>
          <w:sz w:val="24"/>
          <w:szCs w:val="24"/>
          <w:rtl w:val="0"/>
        </w:rPr>
        <w:t xml:space="preserve"> (9 municípios): sem combinação crítica — servem como base de comparação.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prioridade analítica resultante classifica 3 municípios como "Alta", 6 como "Média-alta" e os demais em "Média" ou "Baixa".</w:t>
      </w:r>
    </w:p>
    <w:p w:rsidR="00000000" w:rsidDel="00000000" w:rsidP="00000000" w:rsidRDefault="00000000" w:rsidRPr="00000000" w14:paraId="00000022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oi3op49tlt9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📁 Arquivo 4: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Base territorial.xlsx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— Perfil socioeconômico dos municípios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Aba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base_territorial_municipios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Os mesmos 21 municípios com dados do IBGE integrados — população, área, densidade demográfica, IDHM 2010, PIB per capita 2023 — e indicadores derivados como orçamento por habitante, liquidado por habitante e participação do investimento rodoviário no PIB municipal. Muitos campos financeiros ainda estão como "-" porque a integração com a base 8398 por município ainda está pendente para vários deles.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Aba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leia_me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Documenta o que a base já faz e o que ainda está pendente — uma nota metodológica interna.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Aba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fontes_oficiais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Lista as fontes utilizadas (IBGE, PAM, PPM, CEMPRE) e as que ainda precisam ser integradas (agricultura, pecuária, indústria municipal).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Aba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ontl_metodologia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Explica como foi construído o proxy de relevância logística com base no ONTL (Observatório Nacional de Transporte e Logística), já que os dados públicos do ONTL não são diretamente exportáveis em tabela municipal. Define a escala: Alta = corredor federal/estruturante; Média = eixo regional/agroindustrial; Média-baixa = ligação regional/capilaridade.</w:t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4ddjs1p42b77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Mensagem central para a apresentação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piloto demonstra que o DER-PR tem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capacidade de execução financeira sólida</w:t>
      </w:r>
      <w:r w:rsidDel="00000000" w:rsidR="00000000" w:rsidRPr="00000000">
        <w:rPr>
          <w:sz w:val="24"/>
          <w:szCs w:val="24"/>
          <w:rtl w:val="0"/>
        </w:rPr>
        <w:t xml:space="preserve"> nos principais subprogramas (PROCONSERVA, COP, FAIXA), com taxas de liquidação acima de 87%. O desafio não é falta de execução, mas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qualidade da informação</w:t>
      </w:r>
      <w:r w:rsidDel="00000000" w:rsidR="00000000" w:rsidRPr="00000000">
        <w:rPr>
          <w:sz w:val="24"/>
          <w:szCs w:val="24"/>
          <w:rtl w:val="0"/>
        </w:rPr>
        <w:t xml:space="preserve"> — rastreabilidade entre orçamento, contrato, entrega física e território ainda é parcial. A dimensão territorial revela que municípios com maior vulnerabilidade social nem sempre coincidem com os de maior investimento, o que abre espaço para uma agenda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priorização mais equitativa e baseada em evidência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zynrc7xjpj0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Argumentação para o piloto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"A relevância está no que o dado revela sobre o critério de decisão implícito. Hoje, o DER prioriza onde vai a manutenção com base em critérios técnicos e contratuais — extensão da malha, tipo de pavimento, pressão de custo. O que o paradoxo territorial mostra é que esse critério, aplicado de forma neutra, pode sistematicamente </w:t>
      </w:r>
      <w:r w:rsidDel="00000000" w:rsidR="00000000" w:rsidRPr="00000000">
        <w:rPr>
          <w:rtl w:val="0"/>
        </w:rPr>
        <w:t xml:space="preserve">subatender</w:t>
      </w:r>
      <w:r w:rsidDel="00000000" w:rsidR="00000000" w:rsidRPr="00000000">
        <w:rPr>
          <w:rtl w:val="0"/>
        </w:rPr>
        <w:t xml:space="preserve"> justamente os municípios onde a estrada faz mais diferença para a população. Em Agudos do Sul e Reserva, a rodovia não é só infraestrutura de escoamento — é o caminho para o hospital, para a escola, para o mercado. Quando o IDH é baixo e a relevância logística é alta, qualquer degradação da malha tem custo social desproporcional."</w:t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"Órgãos públicos têm obrigação constitucional de reduzir desigualdades regionais — não só de manter estradas. Quando a análise mostra que dois municípios com os IDHs mais baixos do piloto estão nos corredores logísticos mais críticos, isso não é coincidência curiosa: é um ponto de decisão. O gestor pode, com essa informação, justificar tecnicamente por que esses trechos merecem atenção prioritária — inclusive em eventuais disputas orçamentárias ou questionamentos do TCE sobre critérios de alocação."</w:t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"Concordamos que o DER não resolve pobreza. Mas o DER decide onde concentra esforço de manutenção quando o orçamento é restrito. Essa decisão já é uma política, mesmo que implícita. O que estamos propondo é torná-la explícita e defensável. Um DER que consegue mostrar que seus critérios de priorização consideram tanto a condição da malha quanto o perfil do território atendido está muito mais protegido diante de auditorias, de emendas parlamentares e de pressão política difusa. A categoria não cria obrigação nova — ela dá linguagem técnica para uma responsabilidade que o órgão já tem."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