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r>
        <w:rPr>
          <w:rFonts w:ascii="Calibri" w:hAnsi="Calibri"/>
          <w:b/>
          <w:i w:val="0"/>
          <w:color w:val="C69214"/>
          <w:sz w:val="20"/>
        </w:rPr>
        <w:t>VISÃO EXECUTIVA</w:t>
      </w:r>
    </w:p>
    <w:p>
      <w:pPr>
        <w:pStyle w:val="Title"/>
      </w:pPr>
      <w:r>
        <w:rPr>
          <w:rFonts w:ascii="Calibri" w:hAnsi="Calibri"/>
          <w:b/>
          <w:i w:val="0"/>
          <w:color w:val="17365D"/>
          <w:sz w:val="56"/>
        </w:rPr>
        <w:t>Nova arquitetura do Painel SESI-RS para a ROTA PME</w:t>
      </w:r>
    </w:p>
    <w:p>
      <w:pPr>
        <w:pStyle w:val="Subtitle"/>
      </w:pPr>
      <w:r>
        <w:rPr>
          <w:rFonts w:ascii="Calibri" w:hAnsi="Calibri"/>
          <w:b w:val="0"/>
          <w:i w:val="0"/>
          <w:color w:val="5B6570"/>
          <w:sz w:val="28"/>
        </w:rPr>
        <w:t>Como o ambiente apoiará as equipes municipais do diagnóstico à formulação do PME e preparará a continuidade para ação e monitoramento</w:t>
      </w:r>
    </w:p>
    <w:p>
      <w:pPr>
        <w:spacing w:after="240"/>
      </w:pPr>
    </w:p>
    <w:p>
      <w:pPr>
        <w:spacing w:after="40"/>
      </w:pPr>
      <w:r>
        <w:rPr>
          <w:rFonts w:ascii="Calibri" w:hAnsi="Calibri"/>
          <w:b/>
          <w:i w:val="0"/>
          <w:color w:val="17365D"/>
          <w:sz w:val="21"/>
        </w:rPr>
        <w:t xml:space="preserve">Destinatária: </w:t>
      </w:r>
      <w:r>
        <w:rPr>
          <w:rFonts w:ascii="Calibri" w:hAnsi="Calibri"/>
          <w:b w:val="0"/>
          <w:i w:val="0"/>
          <w:color w:val="24313B"/>
          <w:sz w:val="21"/>
        </w:rPr>
        <w:t>Gestora do Instituto SESI-RS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1"/>
        </w:rPr>
        <w:t xml:space="preserve">Finalidade: </w:t>
      </w:r>
      <w:r>
        <w:rPr>
          <w:rFonts w:ascii="Calibri" w:hAnsi="Calibri"/>
          <w:b w:val="0"/>
          <w:i w:val="0"/>
          <w:color w:val="24313B"/>
          <w:sz w:val="21"/>
        </w:rPr>
        <w:t>Compreender a organização, a experiência de uso e as entregas do Painel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1"/>
        </w:rPr>
        <w:t xml:space="preserve">Piloto: </w:t>
      </w:r>
      <w:r>
        <w:rPr>
          <w:rFonts w:ascii="Calibri" w:hAnsi="Calibri"/>
          <w:b w:val="0"/>
          <w:i w:val="0"/>
          <w:color w:val="24313B"/>
          <w:sz w:val="21"/>
        </w:rPr>
        <w:t>Nova Santa Rita (RS)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1"/>
        </w:rPr>
        <w:t xml:space="preserve">Data de corte: </w:t>
      </w:r>
      <w:r>
        <w:rPr>
          <w:rFonts w:ascii="Calibri" w:hAnsi="Calibri"/>
          <w:b w:val="0"/>
          <w:i w:val="0"/>
          <w:color w:val="24313B"/>
          <w:sz w:val="21"/>
        </w:rPr>
        <w:t>3 de setembro de 2026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1"/>
        </w:rPr>
        <w:t xml:space="preserve">Situação: </w:t>
      </w:r>
      <w:r>
        <w:rPr>
          <w:rFonts w:ascii="Calibri" w:hAnsi="Calibri"/>
          <w:b w:val="0"/>
          <w:i w:val="0"/>
          <w:color w:val="24313B"/>
          <w:sz w:val="21"/>
        </w:rPr>
        <w:t>Arquitetura proposta para desenvolvimento progressivo</w:t>
      </w:r>
    </w:p>
    <w:p>
      <w:pPr>
        <w:spacing w:after="2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MENSAGEM CENTRAL  </w:t>
            </w:r>
            <w:r>
              <w:rPr>
                <w:rFonts w:ascii="Calibri" w:hAnsi="Calibri"/>
                <w:b w:val="0"/>
                <w:i w:val="0"/>
                <w:color w:val="24313B"/>
                <w:sz w:val="21"/>
              </w:rPr>
              <w:t>O Painel deixará de ser apenas um ambiente de consulta. Ele organizará o percurso de trabalho das equipes municipais, apresentando uma decisão por vez e preservando a ligação entre evidências, problemas, causas, objetivos, metas, estratégias e futuras ações.</w:t>
            </w:r>
          </w:p>
        </w:tc>
      </w:tr>
    </w:tbl>
    <w:p>
      <w:pPr>
        <w:pStyle w:val="Heading1"/>
        <w:pageBreakBefore/>
      </w:pPr>
      <w:r>
        <w:t>1. A decisão de arquitetura</w:t>
      </w:r>
    </w:p>
    <w:p>
      <w:r>
        <w:rPr>
          <w:rFonts w:ascii="Calibri" w:hAnsi="Calibri"/>
          <w:b w:val="0"/>
          <w:i w:val="0"/>
          <w:color w:val="24313B"/>
          <w:sz w:val="22"/>
        </w:rPr>
        <w:t>A reorganização responde a uma necessidade concreta: os municípios não precisam apenas acessar dados. Precisam compreender o que os dados permitem afirmar, transformar evidências em problemas municipais bem formulados e construir respostas coerentes para o PME.</w:t>
      </w:r>
    </w:p>
    <w:p>
      <w:r>
        <w:rPr>
          <w:rFonts w:ascii="Calibri" w:hAnsi="Calibri"/>
          <w:b w:val="0"/>
          <w:i w:val="0"/>
          <w:color w:val="24313B"/>
          <w:sz w:val="22"/>
        </w:rPr>
        <w:t>A nova arquitetura organiza o Painel em uma sequência contínua de trabalho: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PERCURSO  </w:t>
            </w:r>
            <w:r>
              <w:rPr>
                <w:rFonts w:ascii="Calibri" w:hAnsi="Calibri"/>
                <w:b w:val="0"/>
                <w:i w:val="0"/>
                <w:color w:val="24313B"/>
                <w:sz w:val="21"/>
              </w:rPr>
              <w:t>Evidências → problemas municipais → descritores → causas → causas críticas → objetivos → metas → indicadores → estratégias → preparação das ações → monitoramento futuro.</w:t>
            </w:r>
          </w:p>
        </w:tc>
      </w:tr>
    </w:tbl>
    <w:p>
      <w:r>
        <w:rPr>
          <w:rFonts w:ascii="Calibri" w:hAnsi="Calibri"/>
          <w:b w:val="0"/>
          <w:i w:val="0"/>
          <w:color w:val="24313B"/>
          <w:sz w:val="22"/>
        </w:rPr>
        <w:t>O Painel preservará a estrutura legal do PNE — 19 objetivos, metas e estratégias — mas não presumirá que os problemas nacionais existem da mesma forma em todos os municípios. A realidade municipal será analisada e validada pelas equipes locais.</w:t>
      </w:r>
    </w:p>
    <w:p>
      <w:pPr>
        <w:pStyle w:val="Heading2"/>
      </w:pPr>
      <w:r>
        <w:t>O que muda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Os indicadores passam a ser usados como evidências, com fonte, período, universo e limitações.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Os 19 objetivos do PNE tornam-se campos de análise municipal.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Cada município poderá registrar todos os problemas que identificar, sem limite permanente.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Os problemas selecionados para aprofundamento ganham dossiês próprios.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A formulação de objetivos, metas e estratégias passa a derivar do diagnóstico.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As decisões ficam registradas, com autoria, justificativa, versão e situação.</w:t>
      </w:r>
    </w:p>
    <w:p>
      <w:pPr>
        <w:pStyle w:val="Heading1"/>
        <w:pageBreakBefore/>
      </w:pPr>
      <w:r>
        <w:t>2. Como o Painel ficará organizado</w:t>
      </w:r>
    </w:p>
    <w:p>
      <w:r>
        <w:rPr>
          <w:rFonts w:ascii="Calibri" w:hAnsi="Calibri"/>
          <w:b w:val="0"/>
          <w:i w:val="0"/>
          <w:color w:val="24313B"/>
          <w:sz w:val="22"/>
        </w:rPr>
        <w:t>A navegação será orientada pelo trabalho que a equipe municipal precisa realizar, não pela quantidade total de conteúdos existentes no sistema.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816"/>
        <w:gridCol w:w="3600"/>
      </w:tblGrid>
      <w:tr>
        <w:trPr>
          <w:tblHeader w:val="true"/>
        </w:trPr>
        <w:tc>
          <w:tcPr>
            <w:tcW w:type="dxa" w:w="19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Área</w:t>
            </w:r>
          </w:p>
        </w:tc>
        <w:tc>
          <w:tcPr>
            <w:tcW w:type="dxa" w:w="38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O que a equipe encontra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Para que serve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Início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Progresso, pendências e próxima decisão.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Retomar o processo sem procurar onde parou.</w:t>
            </w:r>
          </w:p>
        </w:tc>
      </w:tr>
      <w:tr>
        <w:tc>
          <w:tcPr>
            <w:tcW w:type="dxa" w:w="194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Arquitetura do PNE</w:t>
            </w:r>
          </w:p>
        </w:tc>
        <w:tc>
          <w:tcPr>
            <w:tcW w:type="dxa" w:w="381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19 objetivos, metas, estratégias e referências.</w:t>
            </w:r>
          </w:p>
        </w:tc>
        <w:tc>
          <w:tcPr>
            <w:tcW w:type="dxa" w:w="3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Consultar o marco legal quando necessário.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Indicadores e evidências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Dados, séries, fontes, comparações e lacunas.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Compreender a situação municipal.</w:t>
            </w:r>
          </w:p>
        </w:tc>
      </w:tr>
      <w:tr>
        <w:tc>
          <w:tcPr>
            <w:tcW w:type="dxa" w:w="194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Agenda Diagnóstica</w:t>
            </w:r>
          </w:p>
        </w:tc>
        <w:tc>
          <w:tcPr>
            <w:tcW w:type="dxa" w:w="381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Campos de atenção e problemas candidatos.</w:t>
            </w:r>
          </w:p>
        </w:tc>
        <w:tc>
          <w:tcPr>
            <w:tcW w:type="dxa" w:w="3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Formular o que precisa ser enfrentado.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Dossiês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Descritores, desigualdades, causas e causas críticas.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Aprofundar a compreensão dos problemas.</w:t>
            </w:r>
          </w:p>
        </w:tc>
      </w:tr>
      <w:tr>
        <w:tc>
          <w:tcPr>
            <w:tcW w:type="dxa" w:w="194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Formulação do PME</w:t>
            </w:r>
          </w:p>
        </w:tc>
        <w:tc>
          <w:tcPr>
            <w:tcW w:type="dxa" w:w="381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Objetivos, metas, indicadores e estratégias locais.</w:t>
            </w:r>
          </w:p>
        </w:tc>
        <w:tc>
          <w:tcPr>
            <w:tcW w:type="dxa" w:w="3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Construir a resposta municipal.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Matriz de Coerência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Vínculos, alertas e pendências.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Verificar se a proposta deriva do diagnóstico.</w:t>
            </w:r>
          </w:p>
        </w:tc>
      </w:tr>
      <w:tr>
        <w:tc>
          <w:tcPr>
            <w:tcW w:type="dxa" w:w="194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Programas e financiamento</w:t>
            </w:r>
          </w:p>
        </w:tc>
        <w:tc>
          <w:tcPr>
            <w:tcW w:type="dxa" w:w="381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Programas, requisitos e fontes potenciais.</w:t>
            </w:r>
          </w:p>
        </w:tc>
        <w:tc>
          <w:tcPr>
            <w:tcW w:type="dxa" w:w="3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Preparar a execução com prudência.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Relatórios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Documentos, versões e memória das decisões.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Usar nas oficinas, no PME e na governança.</w:t>
            </w:r>
          </w:p>
        </w:tc>
      </w:tr>
    </w:tbl>
    <w:p>
      <w:pPr>
        <w:pStyle w:val="Heading1"/>
        <w:pageBreakBefore/>
      </w:pPr>
      <w:r>
        <w:t>3. Duas visões para conciliar amplitude e foco</w:t>
      </w:r>
    </w:p>
    <w:p>
      <w:r>
        <w:rPr>
          <w:rFonts w:ascii="Calibri" w:hAnsi="Calibri"/>
          <w:b w:val="0"/>
          <w:i w:val="0"/>
          <w:color w:val="24313B"/>
          <w:sz w:val="22"/>
        </w:rPr>
        <w:t>O Painel precisa atender ao conjunto da política educacional municipal sem obrigar a equipe a trabalhar com tudo ao mesmo tempo. Por isso, haverá duas visões complementares.</w:t>
      </w:r>
    </w:p>
    <w:p>
      <w:pPr>
        <w:pStyle w:val="Heading2"/>
      </w:pPr>
      <w:r>
        <w:t>Visão 1 — Mapa municipal completo</w:t>
      </w:r>
    </w:p>
    <w:p>
      <w:r>
        <w:rPr>
          <w:rFonts w:ascii="Calibri" w:hAnsi="Calibri"/>
          <w:b w:val="0"/>
          <w:i w:val="0"/>
          <w:color w:val="24313B"/>
          <w:sz w:val="22"/>
        </w:rPr>
        <w:t>Apresenta os 19 campos do PNE e todos os problemas municipais registrados. Serve como inventário permanente da realidade educacional, inclusive para problemas que ainda não serão aprofundados.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CAPACIDADE PERMANENTE  </w:t>
            </w:r>
            <w:r>
              <w:rPr>
                <w:rFonts w:ascii="Calibri" w:hAnsi="Calibri"/>
                <w:b w:val="0"/>
                <w:i w:val="0"/>
                <w:color w:val="24313B"/>
                <w:sz w:val="21"/>
              </w:rPr>
              <w:t>Não haverá limite de três problemas no Painel. Um campo poderá conter vários problemas, e um problema transversal poderá relacionar-se a mais de um objetivo do PNE.</w:t>
            </w:r>
          </w:p>
        </w:tc>
      </w:tr>
    </w:tbl>
    <w:p>
      <w:pPr>
        <w:pStyle w:val="Heading2"/>
      </w:pPr>
      <w:r>
        <w:t>Visão 2 — Ciclo de trabalho</w:t>
      </w:r>
    </w:p>
    <w:p>
      <w:r>
        <w:rPr>
          <w:rFonts w:ascii="Calibri" w:hAnsi="Calibri"/>
          <w:b w:val="0"/>
          <w:i w:val="0"/>
          <w:color w:val="24313B"/>
          <w:sz w:val="22"/>
        </w:rPr>
        <w:t>Mostra apenas os problemas escolhidos para uma etapa, oficina ou período. Em Nova Santa Rita, o piloto poderá aprofundar inicialmente até três problemas. Esse número será configurável e poderá ser flexibilizado conforme prontidão, tempo e decisão de governança.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Mapa completo</w:t>
            </w:r>
          </w:p>
        </w:tc>
        <w:tc>
          <w:tcPr>
            <w:tcW w:type="dxa" w:w="4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Ciclo de trabalho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Preserva todos os problemas identificados.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Focaliza o que será aprofundado agora.</w:t>
            </w:r>
          </w:p>
        </w:tc>
      </w:tr>
      <w:tr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Não depende do escopo de uma consultoria.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Pode refletir limites de tempo e capacidade.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Continua útil após o piloto.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Tem início, responsáveis, portões e conclusão.</w:t>
            </w:r>
          </w:p>
        </w:tc>
      </w:tr>
      <w:tr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Permite revisão e ampliação permanente.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Não exclui nem apaga os demais problemas.</w:t>
            </w:r>
          </w:p>
        </w:tc>
      </w:tr>
    </w:tbl>
    <w:p>
      <w:pPr>
        <w:pStyle w:val="Heading1"/>
        <w:pageBreakBefore/>
      </w:pPr>
      <w:r>
        <w:t>4. A experiência da equipe municipal</w:t>
      </w:r>
    </w:p>
    <w:p>
      <w:r>
        <w:rPr>
          <w:rFonts w:ascii="Calibri" w:hAnsi="Calibri"/>
          <w:b w:val="0"/>
          <w:i w:val="0"/>
          <w:color w:val="24313B"/>
          <w:sz w:val="22"/>
        </w:rPr>
        <w:t>A principal proteção contra sobrecarga cognitiva será organizar o trabalho por decisões sucessivas. A equipe não receberá, numa única tela, todos os indicadores, 73 metas, 372 estratégias, programas e exigências.</w:t>
      </w:r>
    </w:p>
    <w:p>
      <w:pPr>
        <w:pStyle w:val="Heading2"/>
      </w:pPr>
      <w:r>
        <w:t>Padrão de cada etapa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Uma pergunta clara: o que precisa ser analisado ou decidido agora?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Um resumo das evidências relevantes, com limites visíveis.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Uma proposta inicial editável quando isso reduzir a página em branco.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Os documentos legais e detalhes metodológicos disponíveis sob demanda.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Um estado de trabalho: rascunho, em análise, validado ou pendente.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Uma próxima ação explícita, com responsável e prazo quando aplicável.</w:t>
      </w:r>
    </w:p>
    <w:p>
      <w:pPr>
        <w:pStyle w:val="Heading2"/>
      </w:pPr>
      <w:r>
        <w:t>O sistema não deve fazer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76"/>
        <w:gridCol w:w="5184"/>
      </w:tblGrid>
      <w:tr>
        <w:trPr>
          <w:tblHeader w:val="true"/>
        </w:trPr>
        <w:tc>
          <w:tcPr>
            <w:tcW w:type="dxa" w:w="41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Evitar</w:t>
            </w:r>
          </w:p>
        </w:tc>
        <w:tc>
          <w:tcPr>
            <w:tcW w:type="dxa" w:w="518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Porque</w:t>
            </w:r>
          </w:p>
        </w:tc>
      </w:tr>
      <w:tr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Apresentar todas as estratégias de uma vez.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 quantidade dificulta a análise e incentiva seleção superficial.</w:t>
            </w:r>
          </w:p>
        </w:tc>
      </w:tr>
      <w:tr>
        <w:tc>
          <w:tcPr>
            <w:tcW w:type="dxa" w:w="417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Transformar indicador desfavorável em problema.</w:t>
            </w:r>
          </w:p>
        </w:tc>
        <w:tc>
          <w:tcPr>
            <w:tcW w:type="dxa" w:w="518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 dado precisa ser interpretado no contexto municipal.</w:t>
            </w:r>
          </w:p>
        </w:tc>
      </w:tr>
      <w:tr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Confirmar causa a partir de correlação.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 relação deve permanecer hipótese até ser examinada.</w:t>
            </w:r>
          </w:p>
        </w:tc>
      </w:tr>
      <w:tr>
        <w:tc>
          <w:tcPr>
            <w:tcW w:type="dxa" w:w="417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Usar linguagem técnica sem explicação.</w:t>
            </w:r>
          </w:p>
        </w:tc>
        <w:tc>
          <w:tcPr>
            <w:tcW w:type="dxa" w:w="518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As equipes têm repertórios e tempos diferentes.</w:t>
            </w:r>
          </w:p>
        </w:tc>
      </w:tr>
      <w:tr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Exigir preenchimento duplicado.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 mesma informação deve acompanhar o objeto ao longo do percurso.</w:t>
            </w:r>
          </w:p>
        </w:tc>
      </w:tr>
      <w:tr>
        <w:tc>
          <w:tcPr>
            <w:tcW w:type="dxa" w:w="417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Ocultar lacunas para mostrar completude.</w:t>
            </w:r>
          </w:p>
        </w:tc>
        <w:tc>
          <w:tcPr>
            <w:tcW w:type="dxa" w:w="518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Pendências visíveis tornam a decisão mais segura.</w:t>
            </w:r>
          </w:p>
        </w:tc>
      </w:tr>
    </w:tbl>
    <w:p>
      <w:pPr>
        <w:pStyle w:val="Heading1"/>
        <w:pageBreakBefore/>
      </w:pPr>
      <w:r>
        <w:t>5. O dossiê do problema municipal</w:t>
      </w:r>
    </w:p>
    <w:p>
      <w:r>
        <w:rPr>
          <w:rFonts w:ascii="Calibri" w:hAnsi="Calibri"/>
          <w:b w:val="0"/>
          <w:i w:val="0"/>
          <w:color w:val="24313B"/>
          <w:sz w:val="22"/>
        </w:rPr>
        <w:t>O dossiê será a unidade central do trabalho analítico. Ele reunirá, em um único lugar, tudo o que a equipe precisa saber, discutir e decidir sobre determinado problema.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Bloco do dossiê</w:t>
            </w:r>
          </w:p>
        </w:tc>
        <w:tc>
          <w:tcPr>
            <w:tcW w:type="dxa" w:w="698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Conteúdo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Identificação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Formulação municipal, situação e campos do PNE relacionados.</w:t>
            </w:r>
          </w:p>
        </w:tc>
      </w:tr>
      <w:tr>
        <w:tc>
          <w:tcPr>
            <w:tcW w:type="dxa" w:w="237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Manifestação local</w:t>
            </w:r>
          </w:p>
        </w:tc>
        <w:tc>
          <w:tcPr>
            <w:tcW w:type="dxa" w:w="698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Descritores, indicadores e evidências documentais ou qualitativas.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Equidade e território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Grupos, redes, etapas, escolas ou territórios afetados.</w:t>
            </w:r>
          </w:p>
        </w:tc>
      </w:tr>
      <w:tr>
        <w:tc>
          <w:tcPr>
            <w:tcW w:type="dxa" w:w="237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Qualidade da evidência</w:t>
            </w:r>
          </w:p>
        </w:tc>
        <w:tc>
          <w:tcPr>
            <w:tcW w:type="dxa" w:w="698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Fonte, período, universo, método, limites e lacunas.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Explicação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Consequências, causas diretas, causas antecedentes e hipóteses.</w:t>
            </w:r>
          </w:p>
        </w:tc>
      </w:tr>
      <w:tr>
        <w:tc>
          <w:tcPr>
            <w:tcW w:type="dxa" w:w="237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Causas críticas</w:t>
            </w:r>
          </w:p>
        </w:tc>
        <w:tc>
          <w:tcPr>
            <w:tcW w:type="dxa" w:w="698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Impacto, possibilidade de ação, competência e viabilidade.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Tradução para o PME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Objetivo, metas, indicadores e estratégias relacionados.</w:t>
            </w:r>
          </w:p>
        </w:tc>
      </w:tr>
      <w:tr>
        <w:tc>
          <w:tcPr>
            <w:tcW w:type="dxa" w:w="237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Governança</w:t>
            </w:r>
          </w:p>
        </w:tc>
        <w:tc>
          <w:tcPr>
            <w:tcW w:type="dxa" w:w="698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Autores, decisões, versões, justificativas, dissensos e pendências.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RESULTADO PRÁTICO  </w:t>
            </w:r>
            <w:r>
              <w:rPr>
                <w:rFonts w:ascii="Calibri" w:hAnsi="Calibri"/>
                <w:b w:val="0"/>
                <w:i w:val="0"/>
                <w:color w:val="24313B"/>
                <w:sz w:val="21"/>
              </w:rPr>
              <w:t>A equipe deixa de alternar entre planilhas, relatórios, atas e textos desconectados. O dossiê acompanha o problema desde a identificação até sua tradução no PME.</w:t>
            </w:r>
          </w:p>
        </w:tc>
      </w:tr>
    </w:tbl>
    <w:p>
      <w:pPr>
        <w:pStyle w:val="Heading1"/>
        <w:pageBreakBefore/>
      </w:pPr>
      <w:r>
        <w:t>6. Até onde o piloto deverá chegar</w:t>
      </w:r>
    </w:p>
    <w:p>
      <w:r>
        <w:rPr>
          <w:rFonts w:ascii="Calibri" w:hAnsi="Calibri"/>
          <w:b w:val="0"/>
          <w:i w:val="0"/>
          <w:color w:val="24313B"/>
          <w:sz w:val="22"/>
        </w:rPr>
        <w:t>O piloto não deve terminar apenas com problemas diagnosticados. Para entregar um ambiente de decisão assistida e rastreável, ele deverá chegar à Fase 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44"/>
        <w:gridCol w:w="3816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Fase</w:t>
            </w:r>
          </w:p>
        </w:tc>
        <w:tc>
          <w:tcPr>
            <w:tcW w:type="dxa" w:w="37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Pergunta respondida</w:t>
            </w:r>
          </w:p>
        </w:tc>
        <w:tc>
          <w:tcPr>
            <w:tcW w:type="dxa" w:w="38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Entrega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1. Evidências e problema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 que está acontecendo no município?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Problema formulado e descritores validados.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2. Causas críticas</w:t>
            </w:r>
          </w:p>
        </w:tc>
        <w:tc>
          <w:tcPr>
            <w:tcW w:type="dxa" w:w="374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Por que o problema ocorre e onde é possível agir?</w:t>
            </w:r>
          </w:p>
        </w:tc>
        <w:tc>
          <w:tcPr>
            <w:tcW w:type="dxa" w:w="381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Árvore causal e matriz de causas críticas.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3. Formulação do PME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Que mudança será buscada e por quais caminhos?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Objetivo, metas, indicadores, estratégias e Matriz de Coerência.</w:t>
            </w:r>
          </w:p>
        </w:tc>
      </w:tr>
    </w:tbl>
    <w:p>
      <w:pPr>
        <w:pStyle w:val="Heading2"/>
      </w:pPr>
      <w:r>
        <w:t>A Matriz de Coerência</w:t>
      </w:r>
    </w:p>
    <w:p>
      <w:r>
        <w:rPr>
          <w:rFonts w:ascii="Calibri" w:hAnsi="Calibri"/>
          <w:b w:val="0"/>
          <w:i w:val="0"/>
          <w:color w:val="24313B"/>
          <w:sz w:val="22"/>
        </w:rPr>
        <w:t>Será a síntese verificável da Fase 3. Ela mostrará se cada objetivo responde a um problema validado, se cada meta possui linha de base, alvo, prazo e indicador, e se cada estratégia atua sobre uma causa crítica e respeita a competência municipal.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MARCO DO PILOTO  </w:t>
            </w:r>
            <w:r>
              <w:rPr>
                <w:rFonts w:ascii="Calibri" w:hAnsi="Calibri"/>
                <w:b w:val="0"/>
                <w:i w:val="0"/>
                <w:color w:val="24313B"/>
                <w:sz w:val="21"/>
              </w:rPr>
              <w:t>A Fase 3 será considerada entregue quando os vínculos e as pendências estiverem visíveis e a comissão municipal puder validar o conjunto. O Painel não precisa produzir o texto legal completo do PME para alcançar esse resultado.</w:t>
            </w:r>
          </w:p>
        </w:tc>
      </w:tr>
    </w:tbl>
    <w:p>
      <w:pPr>
        <w:pStyle w:val="Heading1"/>
        <w:pageBreakBefore/>
      </w:pPr>
      <w:r>
        <w:t>7. Entregas concretas para o município</w:t>
      </w:r>
    </w:p>
    <w:p>
      <w:r>
        <w:rPr>
          <w:rFonts w:ascii="Calibri" w:hAnsi="Calibri"/>
          <w:b w:val="0"/>
          <w:i w:val="0"/>
          <w:color w:val="24313B"/>
          <w:sz w:val="22"/>
        </w:rPr>
        <w:t>O valor do Painel será percebido pelos documentos e instrumentos que a equipe poderá utilizar no processo real de elaboração do PME.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56"/>
        <w:gridCol w:w="4104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Momento</w:t>
            </w:r>
          </w:p>
        </w:tc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Entrega principal</w:t>
            </w:r>
          </w:p>
        </w:tc>
        <w:tc>
          <w:tcPr>
            <w:tcW w:type="dxa" w:w="410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Uso municipal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Leitura inicial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Relatório Técnico Municipal.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Organizar dados, fontes, tendências, limites e lacunas.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Agenda diagnóstica</w:t>
            </w:r>
          </w:p>
        </w:tc>
        <w:tc>
          <w:tcPr>
            <w:tcW w:type="dxa" w:w="34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Mapa dos 19 campos e problemas candidatos.</w:t>
            </w:r>
          </w:p>
        </w:tc>
        <w:tc>
          <w:tcPr>
            <w:tcW w:type="dxa" w:w="410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Definir o que precisa ser investigado e discutido.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Problema validado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Dossiê com descritores e evidências.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Fundamentar a formulação municipal.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Análise causal</w:t>
            </w:r>
          </w:p>
        </w:tc>
        <w:tc>
          <w:tcPr>
            <w:tcW w:type="dxa" w:w="34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Árvore causal e matriz de causas críticas.</w:t>
            </w:r>
          </w:p>
        </w:tc>
        <w:tc>
          <w:tcPr>
            <w:tcW w:type="dxa" w:w="410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Escolher onde a atuação pode produzir efeito.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Formulação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Fichas de objetivos, metas, indicadores e estratégias.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Preparar o conteúdo técnico do PME.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Coerência</w:t>
            </w:r>
          </w:p>
        </w:tc>
        <w:tc>
          <w:tcPr>
            <w:tcW w:type="dxa" w:w="34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Matriz de Coerência.</w:t>
            </w:r>
          </w:p>
        </w:tc>
        <w:tc>
          <w:tcPr>
            <w:tcW w:type="dxa" w:w="410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Verificar a ligação entre diagnóstico e proposição.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Governança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Memória de decisões e pendências.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Preservar autoria, justificativas, responsabilidades e versões.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Continuidade</w:t>
            </w:r>
          </w:p>
        </w:tc>
        <w:tc>
          <w:tcPr>
            <w:tcW w:type="dxa" w:w="34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Backlog municipal.</w:t>
            </w:r>
          </w:p>
        </w:tc>
        <w:tc>
          <w:tcPr>
            <w:tcW w:type="dxa" w:w="4104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Manter problemas não aprofundados e próximos passos.</w:t>
            </w:r>
          </w:p>
        </w:tc>
      </w:tr>
    </w:tbl>
    <w:p>
      <w:pPr>
        <w:pStyle w:val="Heading1"/>
        <w:pageBreakBefore/>
      </w:pPr>
      <w:r>
        <w:t>8. O que o Painel faz — e o que permanece humano</w:t>
      </w:r>
    </w:p>
    <w:p>
      <w:r>
        <w:rPr>
          <w:rFonts w:ascii="Calibri" w:hAnsi="Calibri"/>
          <w:b w:val="0"/>
          <w:i w:val="0"/>
          <w:color w:val="24313B"/>
          <w:sz w:val="22"/>
        </w:rPr>
        <w:t>A clareza dessa fronteira é essencial para que o produto apoie a governança municipal sem assumir uma autoridade que não possui.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3096"/>
        <w:gridCol w:w="3168"/>
      </w:tblGrid>
      <w:tr>
        <w:trPr>
          <w:tblHeader w:val="true"/>
        </w:trPr>
        <w:tc>
          <w:tcPr>
            <w:tcW w:type="dxa" w:w="309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Painel</w:t>
            </w:r>
          </w:p>
        </w:tc>
        <w:tc>
          <w:tcPr>
            <w:tcW w:type="dxa" w:w="309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Consultoria ROTA PME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Município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Organiza dados e evidências; apresenta relações; gera candidatos; testa coerência; registra versões e decisões.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Prepara leituras; facilita oficinas; esclarece conceitos; testa formulações; processa resultados; prepara o próximo portão.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Valida problemas e descritores; examina causas; pactua prioridades; define objetivos, metas e estratégias; conduz participação e rito legal.</w:t>
            </w:r>
          </w:p>
        </w:tc>
      </w:tr>
    </w:tbl>
    <w:p>
      <w:pPr>
        <w:pStyle w:val="Heading2"/>
      </w:pPr>
      <w:r>
        <w:t>Três salvaguardas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Toda sugestão do sistema será identificada como candidata até validação humana.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Toda decisão relevante registrará quem decidiu, em qual instância, quando e por quê.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O município poderá editar, rejeitar, devolver ou manter uma pendência sem perder o histórico.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POSICIONAMENTO  </w:t>
            </w:r>
            <w:r>
              <w:rPr>
                <w:rFonts w:ascii="Calibri" w:hAnsi="Calibri"/>
                <w:b w:val="0"/>
                <w:i w:val="0"/>
                <w:color w:val="24313B"/>
                <w:sz w:val="21"/>
              </w:rPr>
              <w:t>A ROTA PME funciona como infraestrutura de apoio à decisão. Não é uma direção externa do PME nem substitui comissão, fórum, conselhos, participação social ou aprovação legislativa.</w:t>
            </w:r>
          </w:p>
        </w:tc>
      </w:tr>
    </w:tbl>
    <w:p>
      <w:pPr>
        <w:pStyle w:val="Heading1"/>
        <w:pageBreakBefore/>
      </w:pPr>
      <w:r>
        <w:t>9. Estratégias, programas e financiamento</w:t>
      </w:r>
    </w:p>
    <w:p>
      <w:r>
        <w:rPr>
          <w:rFonts w:ascii="Calibri" w:hAnsi="Calibri"/>
          <w:b w:val="0"/>
          <w:i w:val="0"/>
          <w:color w:val="24313B"/>
          <w:sz w:val="22"/>
        </w:rPr>
        <w:t>A integração financeira será construída de forma progressiva. No piloto, o Painel deve preparar a futura execução, sem prometer disponibilidade de recursos ou substituir a análise orçamentária municipal.</w:t>
      </w:r>
    </w:p>
    <w:p>
      <w:pPr>
        <w:pStyle w:val="Heading2"/>
      </w:pPr>
      <w:r>
        <w:t>O que será registrado na estratégia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Competência municipal: direta, corresponsável, cooperação, articulação ou monitoramento.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Programas e políticas que podem apoiar a estratégia.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Fontes potenciais de financiamento e data da informação.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Condições de elegibilidade conhecidas ou ainda não verificadas.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Dependências de União, estado, outros setores ou parceiros.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Riscos, pré-condições e lacunas que afetam a exequibilidade.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REGRA DE PRUDÊNCIA  </w:t>
            </w:r>
            <w:r>
              <w:rPr>
                <w:rFonts w:ascii="Calibri" w:hAnsi="Calibri"/>
                <w:b w:val="0"/>
                <w:i w:val="0"/>
                <w:color w:val="24313B"/>
                <w:sz w:val="21"/>
              </w:rPr>
              <w:t>Programa relacionado não significa município elegível; fonte potencial não significa recurso disponível; estimativa não significa dotação orçamentária.</w:t>
            </w:r>
          </w:p>
        </w:tc>
      </w:tr>
    </w:tbl>
    <w:p>
      <w:r>
        <w:rPr>
          <w:rFonts w:ascii="Calibri" w:hAnsi="Calibri"/>
          <w:b w:val="0"/>
          <w:i w:val="0"/>
          <w:color w:val="24313B"/>
          <w:sz w:val="22"/>
        </w:rPr>
        <w:t>Essa camada evita que o PME seja formulado sem consideração pela execução e, ao mesmo tempo, impede que uma oportunidade financeira determine sozinha a estratégia educacional.</w:t>
      </w:r>
    </w:p>
    <w:p>
      <w:pPr>
        <w:pStyle w:val="Heading1"/>
        <w:pageBreakBefore/>
      </w:pPr>
      <w:r>
        <w:t>10. Continuidade para Plano de Ações e monitoramento</w:t>
      </w:r>
    </w:p>
    <w:p>
      <w:r>
        <w:rPr>
          <w:rFonts w:ascii="Calibri" w:hAnsi="Calibri"/>
          <w:b w:val="0"/>
          <w:i w:val="0"/>
          <w:color w:val="24313B"/>
          <w:sz w:val="22"/>
        </w:rPr>
        <w:t>O Plano de Ações Bienal virá depois da formulação do PME, mas a arquitetura precisa nascer preparada para essa continuidade. O objetivo é evitar que o município recomece o planejamento em outra planilha ou perca a ligação com as decisões anteriores.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3096"/>
        <w:gridCol w:w="3168"/>
      </w:tblGrid>
      <w:tr>
        <w:trPr>
          <w:tblHeader w:val="true"/>
        </w:trPr>
        <w:tc>
          <w:tcPr>
            <w:tcW w:type="dxa" w:w="309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PME decenal</w:t>
            </w:r>
          </w:p>
        </w:tc>
        <w:tc>
          <w:tcPr>
            <w:tcW w:type="dxa" w:w="309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Plano de Ações Bienal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Monitoramento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Define problemas, objetivos, metas, indicadores e estratégias.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Desdobra estratégias em ações, entregas, responsáveis, prazos, custos e fontes.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Acompanha execução, resultados, riscos, justificativas e ajustes.</w:t>
            </w:r>
          </w:p>
        </w:tc>
      </w:tr>
    </w:tbl>
    <w:p>
      <w:pPr>
        <w:pStyle w:val="Heading2"/>
      </w:pPr>
      <w:r>
        <w:t>Continuidade de dados</w:t>
      </w:r>
    </w:p>
    <w:p>
      <w:r>
        <w:rPr>
          <w:rFonts w:ascii="Calibri" w:hAnsi="Calibri"/>
          <w:b w:val="0"/>
          <w:i w:val="0"/>
          <w:color w:val="24313B"/>
          <w:sz w:val="22"/>
        </w:rPr>
        <w:t>A estratégia validada deverá ser reutilizada como origem das futuras ações. Cada ação manterá vínculo com a causa crítica, o objetivo e a meta que justificaram sua criação. Assim, o monitoramento poderá mostrar não apenas o que foi executado, mas qual problema a ação pretendia enfrentar.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ESCOPO DO PILOTO  </w:t>
            </w:r>
            <w:r>
              <w:rPr>
                <w:rFonts w:ascii="Calibri" w:hAnsi="Calibri"/>
                <w:b w:val="0"/>
                <w:i w:val="0"/>
                <w:color w:val="24313B"/>
                <w:sz w:val="21"/>
              </w:rPr>
              <w:t>O piloto prepara essa continuidade por meio dos campos de competência, programas, fontes potenciais, dependências e riscos. Não inclui a elaboração integral do Plano de Ações nem o monitoramento continuado.</w:t>
            </w:r>
          </w:p>
        </w:tc>
      </w:tr>
    </w:tbl>
    <w:p>
      <w:pPr>
        <w:pStyle w:val="Heading1"/>
        <w:pageBreakBefore/>
      </w:pPr>
      <w:r>
        <w:t>11. Como o Painel será usado nas oficinas</w:t>
      </w:r>
    </w:p>
    <w:p>
      <w:r>
        <w:rPr>
          <w:rFonts w:ascii="Calibri" w:hAnsi="Calibri"/>
          <w:b w:val="0"/>
          <w:i w:val="0"/>
          <w:color w:val="24313B"/>
          <w:sz w:val="22"/>
        </w:rPr>
        <w:t>O Painel não substituirá a conversa técnica. Ele preparará o material, sustentará a decisão e registrará o resultado, reduzindo o tempo gasto com localização de informações e consolidação posterior.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3096"/>
        <w:gridCol w:w="3168"/>
      </w:tblGrid>
      <w:tr>
        <w:trPr>
          <w:tblHeader w:val="true"/>
        </w:trPr>
        <w:tc>
          <w:tcPr>
            <w:tcW w:type="dxa" w:w="309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Antes</w:t>
            </w:r>
          </w:p>
        </w:tc>
        <w:tc>
          <w:tcPr>
            <w:tcW w:type="dxa" w:w="309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Durante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Depois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Evidências processadas; candidatos preparados; lacunas e perguntas destacadas.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Equipe interpreta, ajusta, rejeita ou valida; decisões e pendências são registradas.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Consultoria processa o resultado; gera artefatos; prepara o portão seguinte.</w:t>
            </w:r>
          </w:p>
        </w:tc>
      </w:tr>
    </w:tbl>
    <w:p>
      <w:pPr>
        <w:pStyle w:val="Heading2"/>
      </w:pPr>
      <w:r>
        <w:t>Ciclo operacional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Preparar evidências e hipóteses.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Facilitar interpretação e contraste.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Apoiar a decisão municipal.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Registrar decisão e justificativa.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Processar tecnicamente o resultado.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Preparar a próxima decisão.</w:t>
      </w:r>
    </w:p>
    <w:p>
      <w:r>
        <w:rPr>
          <w:rFonts w:ascii="Calibri" w:hAnsi="Calibri"/>
          <w:b w:val="0"/>
          <w:i w:val="0"/>
          <w:color w:val="24313B"/>
          <w:sz w:val="22"/>
        </w:rPr>
        <w:t>Para Nova Santa Rita, as oficinas deverão se integrar ao cronograma e ao estágio real do PME. O Painel precisa permitir que um município mais avançado retome o percurso a partir do ponto em que se encontra, sem exigir repetição artificial de etapas.</w:t>
      </w:r>
    </w:p>
    <w:p>
      <w:pPr>
        <w:pStyle w:val="Heading1"/>
        <w:pageBreakBefore/>
      </w:pPr>
      <w:r>
        <w:t>12. Implantação progressiva sem comprometer a arquitetura</w:t>
      </w:r>
    </w:p>
    <w:p>
      <w:r>
        <w:rPr>
          <w:rFonts w:ascii="Calibri" w:hAnsi="Calibri"/>
          <w:b w:val="0"/>
          <w:i w:val="0"/>
          <w:color w:val="24313B"/>
          <w:sz w:val="22"/>
        </w:rPr>
        <w:t>A implementação poderá ocorrer por marcos, desde que o piloto não seja encerrado antes da Fase 3 e que decisões provisórias não se tornem limitações permanentes do produto.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960"/>
        <w:gridCol w:w="3672"/>
      </w:tblGrid>
      <w:tr>
        <w:trPr>
          <w:tblHeader w:val="true"/>
        </w:trPr>
        <w:tc>
          <w:tcPr>
            <w:tcW w:type="dxa" w:w="172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Marco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Capacidade entregue</w:t>
            </w:r>
          </w:p>
        </w:tc>
        <w:tc>
          <w:tcPr>
            <w:tcW w:type="dxa" w:w="36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Evidência de conclusão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1. Fundação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19 objetivos, relações legais, município, usuários e versões.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Arquitetura nacional navegável e governança configurada.</w:t>
            </w:r>
          </w:p>
        </w:tc>
      </w:tr>
      <w:tr>
        <w:tc>
          <w:tcPr>
            <w:tcW w:type="dxa" w:w="1728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2. Diagnóstico</w:t>
            </w:r>
          </w:p>
        </w:tc>
        <w:tc>
          <w:tcPr>
            <w:tcW w:type="dxa" w:w="3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Indicadores, evidências, mapa dos campos e agenda.</w:t>
            </w:r>
          </w:p>
        </w:tc>
        <w:tc>
          <w:tcPr>
            <w:tcW w:type="dxa" w:w="3672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Problemas ilimitados e ciclo focal configurável.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3. Dossiê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Problemas, descritores, desigualdades e decisões.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Dossiê validável e exportável.</w:t>
            </w:r>
          </w:p>
        </w:tc>
      </w:tr>
      <w:tr>
        <w:tc>
          <w:tcPr>
            <w:tcW w:type="dxa" w:w="1728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4. Causalidade</w:t>
            </w:r>
          </w:p>
        </w:tc>
        <w:tc>
          <w:tcPr>
            <w:tcW w:type="dxa" w:w="3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Árvore, hipóteses e causas críticas.</w:t>
            </w:r>
          </w:p>
        </w:tc>
        <w:tc>
          <w:tcPr>
            <w:tcW w:type="dxa" w:w="3672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Relações e justificativas rastreáveis.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5. Fase 3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Objetivos, metas, indicadores, estratégias e coerência.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Matriz de Coerência aceita no piloto.</w:t>
            </w:r>
          </w:p>
        </w:tc>
      </w:tr>
      <w:tr>
        <w:tc>
          <w:tcPr>
            <w:tcW w:type="dxa" w:w="1728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6. Estabilização</w:t>
            </w:r>
          </w:p>
        </w:tc>
        <w:tc>
          <w:tcPr>
            <w:tcW w:type="dxa" w:w="3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Relatórios, acessibilidade, segurança e experiência.</w:t>
            </w:r>
          </w:p>
        </w:tc>
        <w:tc>
          <w:tcPr>
            <w:tcW w:type="dxa" w:w="3672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Uso consistente nas oficinas e pela equipe municipal.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7. Continuidade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Plano Bienal e monitoramento.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7"/>
              </w:rPr>
              <w:t>Ciclo de execução e revisão integrado.</w:t>
            </w:r>
          </w:p>
        </w:tc>
      </w:tr>
    </w:tbl>
    <w:p>
      <w:pPr>
        <w:pStyle w:val="Heading1"/>
        <w:pageBreakBefore/>
      </w:pPr>
      <w:r>
        <w:t>13. Critérios executivos para avaliar o piloto</w:t>
      </w:r>
    </w:p>
    <w:p>
      <w:r>
        <w:rPr>
          <w:rFonts w:ascii="Calibri" w:hAnsi="Calibri"/>
          <w:b w:val="0"/>
          <w:i w:val="0"/>
          <w:color w:val="24313B"/>
          <w:sz w:val="22"/>
        </w:rPr>
        <w:t>O sucesso não deve ser medido apenas pela quantidade de funcionalidades implementadas. Deve ser avaliado pela capacidade de apoiar uma equipe municipal real.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Critério</w:t>
            </w:r>
          </w:p>
        </w:tc>
        <w:tc>
          <w:tcPr>
            <w:tcW w:type="dxa" w:w="72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Pergunta de avaliação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Clareza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 equipe entende onde está, o que precisa decidir e qual será a próxima etapa?</w:t>
            </w:r>
          </w:p>
        </w:tc>
      </w:tr>
      <w:tr>
        <w:tc>
          <w:tcPr>
            <w:tcW w:type="dxa" w:w="2088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Carga cognitiva</w:t>
            </w:r>
          </w:p>
        </w:tc>
        <w:tc>
          <w:tcPr>
            <w:tcW w:type="dxa" w:w="7272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 sistema apresenta o necessário para a decisão atual, sem ocultar o contexto?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Utilidade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Os artefatos podem ser usados no PME e nas instâncias de governança?</w:t>
            </w:r>
          </w:p>
        </w:tc>
      </w:tr>
      <w:tr>
        <w:tc>
          <w:tcPr>
            <w:tcW w:type="dxa" w:w="2088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Autonomia</w:t>
            </w:r>
          </w:p>
        </w:tc>
        <w:tc>
          <w:tcPr>
            <w:tcW w:type="dxa" w:w="7272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 equipe consegue realizar tarefas sem depender continuamente do consultor?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Qualidade técnica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Problema, descritor, causa, objetivo, meta e estratégia permanecem distintos?</w:t>
            </w:r>
          </w:p>
        </w:tc>
      </w:tr>
      <w:tr>
        <w:tc>
          <w:tcPr>
            <w:tcW w:type="dxa" w:w="2088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Rastreabilidade</w:t>
            </w:r>
          </w:p>
        </w:tc>
        <w:tc>
          <w:tcPr>
            <w:tcW w:type="dxa" w:w="7272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É possível recuperar fonte, autoria, justificativa, versão e pendência?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Governança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 sistema preserva a decisão municipal e a participação social?</w:t>
            </w:r>
          </w:p>
        </w:tc>
      </w:tr>
      <w:tr>
        <w:tc>
          <w:tcPr>
            <w:tcW w:type="dxa" w:w="2088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Continuidade</w:t>
            </w:r>
          </w:p>
        </w:tc>
        <w:tc>
          <w:tcPr>
            <w:tcW w:type="dxa" w:w="7272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 trabalho realizado poderá alimentar Plano de Ações e monitoramento?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Escalabilidade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 arquitetura funciona além dos três problemas do piloto e em outros municípios?</w:t>
            </w:r>
          </w:p>
        </w:tc>
      </w:tr>
    </w:tbl>
    <w:p>
      <w:pPr>
        <w:pStyle w:val="Heading2"/>
      </w:pPr>
      <w:r>
        <w:t>Demonstrações indispensáveis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Cadastrar quatro ou mais problemas sem bloqueio.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Alternar entre mapa completo e ciclo focal.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Percorrer um caso completo até a Matriz de Coerência.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Mostrar sugestão, edição, rejeição, validação e histórico.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B"/>
          <w:sz w:val="22"/>
        </w:rPr>
        <w:t>Gerar um dossiê e um relatório com fontes e versões.</w:t>
      </w:r>
    </w:p>
    <w:p>
      <w:pPr>
        <w:pStyle w:val="Heading1"/>
        <w:pageBreakBefore/>
      </w:pPr>
      <w:r>
        <w:t>14. Decisões institucionais que ainda precisam ser pactuadas</w:t>
      </w:r>
    </w:p>
    <w:p>
      <w:r>
        <w:rPr>
          <w:rFonts w:ascii="Calibri" w:hAnsi="Calibri"/>
          <w:b w:val="0"/>
          <w:i w:val="0"/>
          <w:color w:val="24313B"/>
          <w:sz w:val="22"/>
        </w:rPr>
        <w:t>A arquitetura funcional está definida, mas algumas escolhas afetam implantação, segurança, operação e sustentabilidade do produto.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Decisão</w:t>
            </w:r>
          </w:p>
        </w:tc>
        <w:tc>
          <w:tcPr>
            <w:tcW w:type="dxa" w:w="64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Por que é necessária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Governança de produto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Definir quem aprova regras, prioridades, mudanças e versões.</w:t>
            </w:r>
          </w:p>
        </w:tc>
      </w:tr>
      <w:tr>
        <w:tc>
          <w:tcPr>
            <w:tcW w:type="dxa" w:w="28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Perfis e acesso</w:t>
            </w:r>
          </w:p>
        </w:tc>
        <w:tc>
          <w:tcPr>
            <w:tcW w:type="dxa" w:w="64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Separar área pública, workspace municipal, consultoria e administração.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Atualização normativa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Designar responsável, periodicidade e processo de revisão.</w:t>
            </w:r>
          </w:p>
        </w:tc>
      </w:tr>
      <w:tr>
        <w:tc>
          <w:tcPr>
            <w:tcW w:type="dxa" w:w="28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Atualização de programas</w:t>
            </w:r>
          </w:p>
        </w:tc>
        <w:tc>
          <w:tcPr>
            <w:tcW w:type="dxa" w:w="64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Evitar vínculos desatualizados ou promessas indevidas.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Política de dados e LGPD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Definir dados restritos, anonimização, retenção e incidentes.</w:t>
            </w:r>
          </w:p>
        </w:tc>
      </w:tr>
      <w:tr>
        <w:tc>
          <w:tcPr>
            <w:tcW w:type="dxa" w:w="28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Serviços de IA</w:t>
            </w:r>
          </w:p>
        </w:tc>
        <w:tc>
          <w:tcPr>
            <w:tcW w:type="dxa" w:w="64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Definir usos permitidos, registro, segurança e validação humana.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Modelo de suporte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Estabelecer atendimento, formação, manutenção e acompanhamento.</w:t>
            </w:r>
          </w:p>
        </w:tc>
      </w:tr>
      <w:tr>
        <w:tc>
          <w:tcPr>
            <w:tcW w:type="dxa" w:w="28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Escala pós-piloto</w:t>
            </w:r>
          </w:p>
        </w:tc>
        <w:tc>
          <w:tcPr>
            <w:tcW w:type="dxa" w:w="64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Definir condições para novos municípios e formatos de atendimento.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DECISÃO RECOMENDADA  </w:t>
            </w:r>
            <w:r>
              <w:rPr>
                <w:rFonts w:ascii="Calibri" w:hAnsi="Calibri"/>
                <w:b w:val="0"/>
                <w:i w:val="0"/>
                <w:color w:val="24313B"/>
                <w:sz w:val="21"/>
              </w:rPr>
              <w:t>Tratar Nova Santa Rita simultaneamente como município atendido e ambiente controlado de validação do produto, sem expor a equipe municipal a funcionalidades instáveis ou transferir a ela o ônus do desenvolvimento.</w:t>
            </w:r>
          </w:p>
        </w:tc>
      </w:tr>
    </w:tbl>
    <w:p>
      <w:pPr>
        <w:pStyle w:val="Heading1"/>
        <w:pageBreakBefore/>
      </w:pPr>
      <w:r>
        <w:t>15. Síntese para decisão</w:t>
      </w:r>
    </w:p>
    <w:p>
      <w:r>
        <w:rPr>
          <w:rFonts w:ascii="Calibri" w:hAnsi="Calibri"/>
          <w:b w:val="0"/>
          <w:i w:val="0"/>
          <w:color w:val="24313B"/>
          <w:sz w:val="22"/>
        </w:rPr>
        <w:t>A nova arquitetura organiza o Painel como uma infraestrutura de inteligência municipal e de continuidade do planejamento educacional. Sua contribuição não está em decidir pelo município, mas em tornar as decisões mais informadas, coerentes, documentadas e reutilizáveis.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O Painel deverá</w:t>
            </w:r>
          </w:p>
        </w:tc>
        <w:tc>
          <w:tcPr>
            <w:tcW w:type="dxa" w:w="4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O Painel não deverá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Organizar evidências e lacunas.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Confundir indicador com problema.</w:t>
            </w:r>
          </w:p>
        </w:tc>
      </w:tr>
      <w:tr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Comportar todos os problemas municipais.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Limitar a arquitetura a três dossiês.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Aprofundar problemas em ciclos configuráveis.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Confirmar causalidade automaticamente.</w:t>
            </w:r>
          </w:p>
        </w:tc>
      </w:tr>
      <w:tr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Chegar à Fase 3 no piloto.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Encerrar a entrega apenas no diagnóstico.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Preparar Plano Bienal e monitoramento.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Prometer financiamento ou execução.</w:t>
            </w:r>
          </w:p>
        </w:tc>
      </w:tr>
      <w:tr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Registrar autoria, decisão e versão.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Substituir a governança municipal.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Reduzir retrabalho entre etapas.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4313B"/>
                <w:sz w:val="18"/>
              </w:rPr>
              <w:t>Criar um novo repositório desconectado.</w:t>
            </w:r>
          </w:p>
        </w:tc>
      </w:tr>
    </w:tbl>
    <w:p>
      <w:pPr>
        <w:pStyle w:val="Heading2"/>
      </w:pPr>
      <w:r>
        <w:t>Resultado esperado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ENTREGA INSTITUCIONAL  </w:t>
            </w:r>
            <w:r>
              <w:rPr>
                <w:rFonts w:ascii="Calibri" w:hAnsi="Calibri"/>
                <w:b w:val="0"/>
                <w:i w:val="0"/>
                <w:color w:val="24313B"/>
                <w:sz w:val="21"/>
              </w:rPr>
              <w:t>Um ambiente claro e prático no qual as equipes municipais conseguem compreender sua realidade educacional, formular problemas, examinar causas, construir objetivos, metas e estratégias e preservar a memória das decisões — com apoio progressivo da ROTA PME e continuidade para execução e monitoramento.</w:t>
            </w:r>
          </w:p>
        </w:tc>
      </w:tr>
    </w:tbl>
    <w:p>
      <w:r>
        <w:rPr>
          <w:rFonts w:ascii="Calibri" w:hAnsi="Calibri"/>
          <w:b w:val="0"/>
          <w:i/>
          <w:color w:val="24313B"/>
          <w:sz w:val="22"/>
        </w:rPr>
        <w:t>Próximo passo recomendado: validar esta visão executiva com gestão, produto, desenvolvimento e consultoria; em seguida, utilizar a especificação funcional e metodológica como base do backlog e dos critérios de aceite.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0"/>
        <w:sz w:val="16"/>
      </w:rPr>
      <w:t>Visão executiva da nova arquitetura do Painel • setembro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B6570"/>
        <w:sz w:val="17"/>
      </w:rPr>
      <w:t>INSTITUTO SESI-RS  |  ROTA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4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B65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 Executiva da Nova Arquitetura do Painel SESI-RS para a ROTA PME</dc:title>
  <dc:subject>Documento para a gestora do Instituto SESI-RS</dc:subject>
  <dc:creator>ROTA PME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