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CASOS DE PRUEBA Y PROCEDIMIENTOS DE PRUEBA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CASOS DE PRUEBA Y PROCEDIMIENTOS DE PRUEBA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Los casos de prueba pueden incluir: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del caso de prueba.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Elementos a probar.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Especificaciones de entrada.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Especificaciones de salida.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Necesidades del entorno.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Requisitos de procedimientos especiales.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Dependencias de interfaz.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Los procedimientos de prueba pueden incluir: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Identificación: Nombre de la prueba, descripción de la prueba y la fecha de finalización de la prueba.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posibles problemas de implementación.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la persona que completó los procedimientos de prueba.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los requisitos previos.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Identificación de los pasos del procedimiento. Incluyendo el número de paso, la acción requerida por el probador y los resultados esperados.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5B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5D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7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8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CASOS DE PRUEBA Y PROCEDIMIENTOS DE PRUEBA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9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A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D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E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1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2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6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7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