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3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id w:val="751779377"/>
        <w:docPartObj>
          <w:docPartGallery w:val="Table of Contents"/>
          <w:docPartUnique w:val="1"/>
        </w:docPartObj>
      </w:sdtPr>
      <w:sdtContent>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D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0F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0F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6"/>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4">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5">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6">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7">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8">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0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0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0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0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1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2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2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2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2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7"/>
          <w:bookmarkEnd w:id="17"/>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18"/>
          <w:bookmarkEnd w:id="18"/>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19"/>
          <w:bookmarkEnd w:id="19"/>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20"/>
          <w:bookmarkEnd w:id="20"/>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21"/>
          <w:bookmarkEnd w:id="21"/>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4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4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4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5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59">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5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highlight w:val="yellow"/>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1"/>
          <w:highlight w:val="yellow"/>
        </w:rPr>
      </w:pPr>
      <w:r w:rsidDel="00000000" w:rsidR="00000000" w:rsidRPr="00000000">
        <w:rPr>
          <w:highlight w:val="yellow"/>
          <w:rtl w:val="0"/>
        </w:rPr>
        <w:t xml:space="preserve">Ver archivo llamado:</w:t>
      </w:r>
      <w:r w:rsidDel="00000000" w:rsidR="00000000" w:rsidRPr="00000000">
        <w:rPr>
          <w:b w:val="1"/>
          <w:highlight w:val="yellow"/>
          <w:rtl w:val="0"/>
        </w:rPr>
        <w:t xml:space="preserve"> </w:t>
      </w:r>
      <w:r w:rsidDel="00000000" w:rsidR="00000000" w:rsidRPr="00000000">
        <w:rPr>
          <w:b w:val="1"/>
          <w:i w:val="1"/>
          <w:highlight w:val="yellow"/>
          <w:rtl w:val="0"/>
        </w:rPr>
        <w:t xml:space="preserve">Ejemplo - Requerimientos Funcionales (</w:t>
      </w:r>
      <w:hyperlink r:id="rId16">
        <w:r w:rsidDel="00000000" w:rsidR="00000000" w:rsidRPr="00000000">
          <w:rPr>
            <w:b w:val="1"/>
            <w:i w:val="1"/>
            <w:color w:val="0000ee"/>
            <w:highlight w:val="yellow"/>
            <w:u w:val="single"/>
            <w:rtl w:val="0"/>
          </w:rPr>
          <w:t xml:space="preserve">2. Ejemplo - Requerimientos Funcionales.docx</w:t>
        </w:r>
      </w:hyperlink>
      <w:r w:rsidDel="00000000" w:rsidR="00000000" w:rsidRPr="00000000">
        <w:rPr>
          <w:b w:val="1"/>
          <w:i w:val="1"/>
          <w:highlight w:val="yellow"/>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16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6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6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6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16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7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17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17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17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8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187">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1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1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1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1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1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18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19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4.0" w:type="dxa"/>
      <w:jc w:val="left"/>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643.999999999998"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4.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hyperlink" Target="https://docs.google.com/document/d/1WzWyeOgSyTv6LYGc2jkUlmGwNXxQzZne/edit?usp=drive_link&amp;ouid=10265629092418516343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PVGj1JT5vaYSCK0VQh9T+ravg==">CgMxLjAyCGguZ2pkZ3hzMgloLjMwajB6bGwyCWguMWZvYjl0ZTIJaC4zem55c2g3MgloLjJldDkycDAyCGgudHlqY3d0MgloLjNkeTZ2a20yCWguMXQzaDVzZjIJaC40ZDM0b2c4MgloLjJzOGV5bzEyCWguMTdkcDh2dTIJaC4zcmRjcmpuMgloLjI2aW4xcmcyCGgubG54Yno5MgloLjM1bmt1bjIyCWguMWtzdjR1djIJaC40NHNpbmlvMgppZC4yanhzeHFoMglpZC56MzM3eWEyCmlkLjNqMnFxbTMyCmlkLjF5ODEwdHcyCmlk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gAciExUmRGN0RDM21NU01lcU0wYTIzV3Y1Q2MyR2JuZHVZc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

<file path=docProps/custom.xml><?xml version="1.0" encoding="utf-8"?>
<Properties xmlns="http://schemas.openxmlformats.org/officeDocument/2006/custom-properties" xmlns:vt="http://schemas.openxmlformats.org/officeDocument/2006/docPropsVTypes"/>
</file>