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19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Nitronic 50 (S20910, XM-19) de alta resistencia (puntaje 1,60; química A); Bronce al aluminio C95400 / bronce fosforoso (bujes) (puntaje 1,80; química B)</w:t>
      </w:r>
    </w:p>
    <w:p>
      <w:pPr>
        <w:pStyle w:val="ListBullet"/>
      </w:pPr>
      <w:r>
        <w:t>Materiales descartados: 18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con recargue de Stellite 6 (asiento y/o superficie de guiado) (puntaje 2,20; química A); 17-4PH H1150D con recargue de Stellite 6 (obturadores NACE) (puntaje 2,60; química A)</w:t>
      </w:r>
    </w:p>
    <w:p>
      <w:pPr>
        <w:pStyle w:val="ListBullet"/>
      </w:pPr>
      <w:r>
        <w:t>Materiales descartados: 20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No aplica</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0.12.1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0.12.1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