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126,0.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6,10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9,90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6,10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9,90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22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316L (S31603) bajo carbono (puntaje 1,05; química A); ASTM A351 CF8M — 316 fundido (jaulas y guías) (puntaje 1,05; química A); Inoxidable 321 (S32100) estabilizado con titanio (puntaje 1,15; química A)</w:t>
      </w:r>
    </w:p>
    <w:p>
      <w:pPr>
        <w:pStyle w:val="ListBullet"/>
      </w:pPr>
      <w:r>
        <w:t>Materiales descartados: 17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316L (S31603) bajo carbono (puntaje 1,58; química A); Nitronic 50 (S20910, XM-19) de alta resistencia (puntaje 1,60; química A); Nitronic 60 (S21800) — inoxidable antigalling (puntaje 1,70; química A)</w:t>
      </w:r>
    </w:p>
    <w:p>
      <w:pPr>
        <w:pStyle w:val="ListBullet"/>
      </w:pPr>
      <w:r>
        <w:t>Materiales descartados: 11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126,0.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9,90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15,9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4.560 mm²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126,0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6,10 mm · Normal: 9,90 mm · Máximo: 15,9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126,0.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6,10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9,90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58 %</w:t>
      </w:r>
    </w:p>
    <w:p>
      <w:r>
        <w:t>Nivel estimado LpAe,1m = 97,5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67 %</w:t>
      </w:r>
    </w:p>
    <w:p>
      <w:r>
        <w:t>Nivel estimado LpAe,1m = 100,0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75 %</w:t>
      </w:r>
    </w:p>
    <w:p>
      <w:r>
        <w:t>Nivel estimado LpAe,1m = 102,5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126,0) la apertura queda entre 16 % y 42 %.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Ningún trim de una etapa cumple el límite de ruido: se requieren internos multietapa, difusor o silenciador aguas abajo, o repartir la caída de presión.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102,5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0.10.1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0.10.1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