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126,0.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2 5/8 in (66,7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 (AUTOMÁTICO):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 (AUTOMÁTICO):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 (AUTOMÁTICO):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 (AUTOMÁTICO):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 (AUTOMÁTICO):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 (AUTOMÁTICO):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 (AUTOMÁTICO):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Conclusión</w:t>
      </w:r>
    </w:p>
    <w:p>
      <w:r>
        <w:t>Válvula seleccionada: Globo, 3" (DN 80), CL600, RF bridada; internos: globo, jaula caracterizada 4 ventanas, flujo de adentro hacia afuera de la jaula (tiende a abrir); Cv nominal típico 126,0.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126,0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5/8 in (66,7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6,1 mm (0,24 in) · Normal: 9,9 mm (0,39 in) · Máximo: 15,9 mm (0,63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 y 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 (próxima versión: fuerza / par)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Posicionador y 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 definir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126,0.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26,0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6,1 mm (0,24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9,9 mm (0,39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15,9 mm (0,63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126,0) la apertura queda entre 16 % y 42 %.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Ningún trim de una etapa cumple el límite de ruido: se requieren internos multietapa, difusor o silenciador aguas abajo, o repartir la caída de presión.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28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type="dxa" w:w="256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384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No aplica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 (AUTOMÁTICO)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Heading2"/>
      </w:pPr>
      <w:r>
        <w:t>10.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Calculado con N25 Valves Sizing 0.8.2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0.8.2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