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870EA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智慧能源管理系统：</w:t>
      </w:r>
      <w:bookmarkStart w:id="0" w:name="_GoBack"/>
      <w:bookmarkEnd w:id="0"/>
      <w:r>
        <w:rPr>
          <w:rFonts w:ascii="宋体" w:hAnsi="宋体" w:eastAsia="宋体" w:cs="宋体"/>
          <w:b/>
          <w:bCs/>
          <w:sz w:val="36"/>
          <w:szCs w:val="36"/>
        </w:rPr>
        <w:t>非功能性分析报告</w:t>
      </w:r>
    </w:p>
    <w:p w14:paraId="5006ED8E">
      <w:pPr>
        <w:rPr>
          <w:rFonts w:hint="eastAsia" w:ascii="宋体" w:hAnsi="宋体" w:eastAsia="宋体" w:cs="宋体"/>
          <w:sz w:val="24"/>
          <w:szCs w:val="24"/>
        </w:rPr>
      </w:pPr>
    </w:p>
    <w:p w14:paraId="33DDE640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高性能分析</w:t>
      </w:r>
    </w:p>
    <w:p w14:paraId="142C5172"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针对系统海量物联网数据采集与大屏实时展示的特性，建立以下性能约束：</w:t>
      </w:r>
    </w:p>
    <w:p w14:paraId="597E0AFE">
      <w:pPr>
        <w:rPr>
          <w:rFonts w:ascii="宋体" w:hAnsi="宋体" w:eastAsia="宋体" w:cs="宋体"/>
          <w:sz w:val="21"/>
          <w:szCs w:val="21"/>
        </w:rPr>
      </w:pPr>
    </w:p>
    <w:p w14:paraId="6EEFE4F6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实时数据写入吞吐量：系统需支撑配电网、光伏、能耗三条业务线的分钟级并发写入。单表写入峰值应支持每秒 500+ TPS（基于数千台终端 5 分钟/次采集频率的并发压力）</w:t>
      </w:r>
    </w:p>
    <w:p w14:paraId="1053E6C0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查询响应时间：</w:t>
      </w:r>
    </w:p>
    <w:p w14:paraId="27C1BAF3">
      <w:pPr>
        <w:ind w:firstLine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大屏实时看板：首页汇总数据及高等级告警查询响应时间必须控制在500ms 以内。</w:t>
      </w:r>
    </w:p>
    <w:p w14:paraId="43C18977">
      <w:pPr>
        <w:ind w:firstLine="42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复杂趋势分析：跨月/跨季度的同比、环比数据聚合分析响应时间需在3s以内 </w:t>
      </w:r>
    </w:p>
    <w:p w14:paraId="7A4ED2F6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峰值负载能力：在极端电网波动触发大规模告警派单时（如变压器群异常），系统需保持正常响应，不得出现查询超时或数据库死锁。</w:t>
      </w:r>
    </w:p>
    <w:p w14:paraId="3507077B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批量处理性能：次日24小时光伏发电预测数据的生成与存储必须在5分钟内完成，以确保预测的时效性。</w:t>
      </w:r>
    </w:p>
    <w:p w14:paraId="28E19A47">
      <w:pPr>
        <w:rPr>
          <w:rFonts w:hint="eastAsia"/>
          <w:sz w:val="21"/>
          <w:szCs w:val="21"/>
        </w:rPr>
      </w:pPr>
    </w:p>
    <w:p w14:paraId="7C2AC77A">
      <w:pPr>
        <w:rPr>
          <w:rFonts w:hint="eastAsia"/>
        </w:rPr>
      </w:pPr>
    </w:p>
    <w:p w14:paraId="2027084D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系统安全性约束</w:t>
      </w:r>
    </w:p>
    <w:p w14:paraId="4A604C22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1"/>
          <w:szCs w:val="21"/>
        </w:rPr>
        <w:t>构建基于 RBAC 的全业务链路安全防御体系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</w:p>
    <w:p w14:paraId="45000F09"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1EC99953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身份认证与访问控制</w:t>
      </w:r>
    </w:p>
    <w:p w14:paraId="5CAA7120">
      <w:pPr>
        <w:ind w:firstLine="420" w:firstLineChars="0"/>
        <w:rPr>
          <w:rFonts w:hint="eastAsia"/>
        </w:rPr>
      </w:pPr>
      <w:r>
        <w:rPr>
          <w:rFonts w:hint="eastAsia"/>
        </w:rPr>
        <w:t>系统必须提供基于账号与密码的身份认证，并支持密码复杂度要求（至少</w:t>
      </w:r>
      <w:r>
        <w:t xml:space="preserve"> 8 位、包含字母与数字）。</w:t>
      </w:r>
    </w:p>
    <w:p w14:paraId="78CEC829">
      <w:pPr>
        <w:ind w:firstLine="420" w:firstLineChars="0"/>
        <w:rPr>
          <w:rFonts w:hint="eastAsia"/>
        </w:rPr>
      </w:pPr>
      <w:r>
        <w:rPr>
          <w:rFonts w:hint="eastAsia"/>
        </w:rPr>
        <w:t>所有用户根据角色进行</w:t>
      </w:r>
      <w:r>
        <w:t>RBAC 访问控制：</w:t>
      </w:r>
    </w:p>
    <w:p w14:paraId="05635FCD">
      <w:pPr>
        <w:ind w:firstLine="420" w:firstLineChars="0"/>
        <w:rPr>
          <w:rFonts w:hint="eastAsia"/>
        </w:rPr>
      </w:pPr>
      <w:r>
        <w:rPr>
          <w:rFonts w:hint="eastAsia"/>
        </w:rPr>
        <w:t>配电网运维人员：仅可查看回路与变压器监测数据</w:t>
      </w:r>
    </w:p>
    <w:p w14:paraId="6360E4B3">
      <w:pPr>
        <w:ind w:firstLine="420" w:firstLineChars="0"/>
        <w:rPr>
          <w:rFonts w:hint="eastAsia"/>
        </w:rPr>
      </w:pPr>
      <w:r>
        <w:rPr>
          <w:rFonts w:hint="eastAsia"/>
        </w:rPr>
        <w:t>光伏运维人员：仅可查看光伏设备与发电数据</w:t>
      </w:r>
    </w:p>
    <w:p w14:paraId="0AC550F3">
      <w:pPr>
        <w:ind w:firstLine="420" w:firstLineChars="0"/>
        <w:rPr>
          <w:rFonts w:hint="eastAsia"/>
        </w:rPr>
      </w:pPr>
      <w:r>
        <w:rPr>
          <w:rFonts w:hint="eastAsia"/>
        </w:rPr>
        <w:t>数据分析师：可访问预测结果、偏差分析相关模块</w:t>
      </w:r>
    </w:p>
    <w:p w14:paraId="16F7BA8A">
      <w:pPr>
        <w:ind w:firstLine="420" w:firstLineChars="0"/>
        <w:rPr>
          <w:rFonts w:hint="eastAsia"/>
        </w:rPr>
      </w:pPr>
      <w:r>
        <w:rPr>
          <w:rFonts w:hint="eastAsia"/>
        </w:rPr>
        <w:t>系统管理员：可访问规则配置等高权限操作</w:t>
      </w:r>
    </w:p>
    <w:p w14:paraId="1E15D27E">
      <w:pPr>
        <w:ind w:firstLine="420" w:firstLineChars="0"/>
        <w:rPr>
          <w:rFonts w:hint="eastAsia"/>
        </w:rPr>
      </w:pPr>
      <w:r>
        <w:rPr>
          <w:rFonts w:hint="eastAsia"/>
        </w:rPr>
        <w:t>所有用户操作必须记录到操作日志，防止越权访问或串改</w:t>
      </w:r>
    </w:p>
    <w:p w14:paraId="2B4CFEB7">
      <w:pPr>
        <w:ind w:firstLine="420" w:firstLineChars="0"/>
        <w:rPr>
          <w:rFonts w:hint="eastAsia"/>
        </w:rPr>
      </w:pPr>
    </w:p>
    <w:p w14:paraId="108B7866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通信与数据传输安全</w:t>
      </w:r>
    </w:p>
    <w:p w14:paraId="1776E678">
      <w:pPr>
        <w:ind w:firstLine="420" w:firstLineChars="0"/>
        <w:rPr>
          <w:rFonts w:hint="eastAsia"/>
        </w:rPr>
      </w:pPr>
      <w:r>
        <w:rPr>
          <w:rFonts w:hint="eastAsia"/>
        </w:rPr>
        <w:t>智能采集终端</w:t>
      </w:r>
      <w:r>
        <w:t xml:space="preserve"> → 系统平台的通信必须通过 HTTPS 或 TLS 隧道加密</w:t>
      </w:r>
    </w:p>
    <w:p w14:paraId="55C71A20">
      <w:pPr>
        <w:ind w:firstLine="420" w:firstLineChars="0"/>
        <w:rPr>
          <w:rFonts w:hint="eastAsia"/>
        </w:rPr>
      </w:pPr>
      <w:r>
        <w:rPr>
          <w:rFonts w:hint="eastAsia"/>
        </w:rPr>
        <w:t>光伏设备（逆变器、汇流箱）上传的数据应通过加密链路传输（如</w:t>
      </w:r>
      <w:r>
        <w:t xml:space="preserve"> RS485→网关→TLS）</w:t>
      </w:r>
    </w:p>
    <w:p w14:paraId="4FBE3D0B">
      <w:pPr>
        <w:ind w:firstLine="420" w:firstLineChars="0"/>
        <w:rPr>
          <w:rFonts w:hint="eastAsia"/>
        </w:rPr>
      </w:pPr>
      <w:r>
        <w:rPr>
          <w:rFonts w:hint="eastAsia"/>
        </w:rPr>
        <w:t>禁止明文传输设备编号、运行状态、电压电流等敏感监测数据</w:t>
      </w:r>
    </w:p>
    <w:p w14:paraId="667943B5"/>
    <w:p w14:paraId="2AD6F2B7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数据存储安全</w:t>
      </w:r>
    </w:p>
    <w:p w14:paraId="51818E82">
      <w:pPr>
        <w:ind w:firstLine="420" w:firstLineChars="0"/>
        <w:rPr>
          <w:rFonts w:hint="eastAsia"/>
        </w:rPr>
      </w:pPr>
      <w:r>
        <w:rPr>
          <w:rFonts w:hint="eastAsia"/>
        </w:rPr>
        <w:t>配电网监测数据、光伏发电数据、预测数据必须存储在授权数据库中，不允许通过本地文件存储</w:t>
      </w:r>
    </w:p>
    <w:p w14:paraId="598D5640">
      <w:pPr>
        <w:ind w:firstLine="420" w:firstLineChars="0"/>
        <w:rPr>
          <w:rFonts w:hint="eastAsia"/>
        </w:rPr>
      </w:pPr>
      <w:r>
        <w:rPr>
          <w:rFonts w:hint="eastAsia"/>
        </w:rPr>
        <w:t>数据库必须启用最小访问原则（</w:t>
      </w:r>
      <w:r>
        <w:t>Least Privilege）</w:t>
      </w:r>
    </w:p>
    <w:p w14:paraId="1C64F525">
      <w:pPr>
        <w:ind w:firstLine="420" w:firstLineChars="0"/>
        <w:rPr>
          <w:rFonts w:hint="eastAsia"/>
        </w:rPr>
      </w:pPr>
      <w:r>
        <w:rPr>
          <w:rFonts w:hint="eastAsia"/>
        </w:rPr>
        <w:t>数据定期备份，并由专有账号访问备份存储</w:t>
      </w:r>
    </w:p>
    <w:p w14:paraId="4A03B42D">
      <w:pPr>
        <w:ind w:firstLine="420" w:firstLineChars="0"/>
      </w:pPr>
      <w:r>
        <w:rPr>
          <w:rFonts w:hint="eastAsia"/>
        </w:rPr>
        <w:t>监测规则、运行状态等关键表必须启用行级更新日志，保证可追溯性</w:t>
      </w:r>
    </w:p>
    <w:p w14:paraId="7C276AC8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告警与异常安全</w:t>
      </w:r>
    </w:p>
    <w:p w14:paraId="04AB9D39">
      <w:pPr>
        <w:ind w:firstLine="420" w:firstLineChars="0"/>
        <w:rPr>
          <w:rFonts w:hint="eastAsia"/>
        </w:rPr>
      </w:pPr>
      <w:r>
        <w:rPr>
          <w:rFonts w:hint="eastAsia"/>
        </w:rPr>
        <w:t>对于回路</w:t>
      </w:r>
      <w:r>
        <w:t>/变压器越限、逆变器效率过低等异常，系统必须即时触发告警推送</w:t>
      </w:r>
    </w:p>
    <w:p w14:paraId="1C4A295B">
      <w:pPr>
        <w:ind w:firstLine="420" w:firstLineChars="0"/>
        <w:rPr>
          <w:rFonts w:hint="eastAsia"/>
        </w:rPr>
      </w:pPr>
      <w:r>
        <w:rPr>
          <w:rFonts w:hint="eastAsia"/>
        </w:rPr>
        <w:t>告警的触发、确认、处理过程必须记录完整日志，避免业务争议</w:t>
      </w:r>
    </w:p>
    <w:p w14:paraId="64215815">
      <w:pPr>
        <w:ind w:firstLine="420" w:firstLineChars="0"/>
      </w:pPr>
      <w:r>
        <w:rPr>
          <w:rFonts w:hint="eastAsia"/>
        </w:rPr>
        <w:t>告警不能被普通用户删除，所有关闭操作必须由运维负责人或管理员执行</w:t>
      </w:r>
    </w:p>
    <w:p w14:paraId="6E3CF72A"/>
    <w:p w14:paraId="27D4CAAE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系统审计与日志</w:t>
      </w:r>
    </w:p>
    <w:p w14:paraId="54B515F9">
      <w:pPr>
        <w:ind w:firstLine="420" w:firstLineChars="0"/>
        <w:rPr>
          <w:rFonts w:hint="eastAsia"/>
        </w:rPr>
      </w:pPr>
      <w:r>
        <w:rPr>
          <w:rFonts w:hint="eastAsia"/>
        </w:rPr>
        <w:t>所有登录、登出、查询、修改、配置规则的操作均必须记录审计日志</w:t>
      </w:r>
    </w:p>
    <w:p w14:paraId="4B1F6116">
      <w:pPr>
        <w:ind w:firstLine="420" w:firstLineChars="0"/>
        <w:rPr>
          <w:rFonts w:hint="eastAsia"/>
        </w:rPr>
      </w:pPr>
      <w:r>
        <w:rPr>
          <w:rFonts w:hint="eastAsia"/>
        </w:rPr>
        <w:t>审计日志应包含：账号、时间、</w:t>
      </w:r>
      <w:r>
        <w:t>IP、操作内容、执行结果</w:t>
      </w:r>
    </w:p>
    <w:p w14:paraId="0DDC5460">
      <w:pPr>
        <w:ind w:firstLine="420" w:firstLineChars="0"/>
      </w:pPr>
      <w:r>
        <w:rPr>
          <w:rFonts w:hint="eastAsia"/>
        </w:rPr>
        <w:t>审计日志不可手动篡改，应启用只读存储或定期转储到安全区</w:t>
      </w:r>
    </w:p>
    <w:p w14:paraId="589D9002"/>
    <w:p w14:paraId="3DB81AA0">
      <w:pPr>
        <w:numPr>
          <w:ilvl w:val="0"/>
          <w:numId w:val="4"/>
        </w:numPr>
        <w:ind w:left="0" w:leftChars="0" w:firstLine="0" w:firstLineChars="0"/>
        <w:rPr>
          <w:rFonts w:hint="eastAsia"/>
        </w:rPr>
      </w:pPr>
      <w:r>
        <w:t>可用性与容错性</w:t>
      </w:r>
    </w:p>
    <w:p w14:paraId="37A56F41">
      <w:pPr>
        <w:ind w:firstLine="420" w:firstLineChars="0"/>
        <w:rPr>
          <w:rFonts w:hint="eastAsia"/>
        </w:rPr>
      </w:pPr>
      <w:r>
        <w:rPr>
          <w:rFonts w:hint="eastAsia"/>
        </w:rPr>
        <w:t>配电网监测与光伏发电数据属于实时业务，应确保系统可用性</w:t>
      </w:r>
      <w:r>
        <w:t xml:space="preserve"> ≥ 99.5%</w:t>
      </w:r>
    </w:p>
    <w:p w14:paraId="7032A5B8">
      <w:pPr>
        <w:ind w:firstLine="420" w:firstLineChars="0"/>
        <w:rPr>
          <w:rFonts w:hint="eastAsia"/>
        </w:rPr>
      </w:pPr>
      <w:r>
        <w:rPr>
          <w:rFonts w:hint="eastAsia"/>
        </w:rPr>
        <w:t>数据采集模块需具有断点续传能力，网络恢复后自动补发</w:t>
      </w:r>
    </w:p>
    <w:p w14:paraId="6CD3FEB9">
      <w:pPr>
        <w:ind w:firstLine="420" w:firstLineChars="0"/>
      </w:pPr>
      <w:r>
        <w:rPr>
          <w:rFonts w:hint="eastAsia"/>
        </w:rPr>
        <w:t>对设备通信异常（如逆变器离线、采集终端离线），需自动告警</w:t>
      </w:r>
    </w:p>
    <w:p w14:paraId="63E8CE79"/>
    <w:p w14:paraId="3C49FE40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</w:pPr>
      <w:r>
        <w:t>可靠性与可用性</w:t>
      </w:r>
    </w:p>
    <w:p w14:paraId="5DA6B092">
      <w:pPr>
        <w:rPr>
          <w:rFonts w:hint="eastAsia"/>
          <w:lang w:eastAsia="zh-CN"/>
        </w:rPr>
      </w:pPr>
      <w:r>
        <w:rPr>
          <w:rFonts w:hint="eastAsia"/>
        </w:rPr>
        <w:t>作为 7×24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小时不间断运行的关键工业系统，必须确保高稳定性</w:t>
      </w:r>
      <w:r>
        <w:rPr>
          <w:rFonts w:hint="eastAsia"/>
          <w:lang w:eastAsia="zh-CN"/>
        </w:rPr>
        <w:t>：</w:t>
      </w:r>
    </w:p>
    <w:p w14:paraId="7EC9A7A1">
      <w:pPr>
        <w:rPr>
          <w:rFonts w:hint="eastAsia"/>
          <w:lang w:eastAsia="zh-CN"/>
        </w:rPr>
      </w:pPr>
    </w:p>
    <w:p w14:paraId="0B15EAFB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系统可用性：实时监测业务可用性应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≥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99.5%</w:t>
      </w:r>
    </w:p>
    <w:p w14:paraId="26A736B0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断点续传能力：针对网络波动（如逆变器或采集终端离线），采集模块需具备数据缓存功能，恢复后自动补发缺失数据</w:t>
      </w:r>
    </w:p>
    <w:p w14:paraId="4A4D7E92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数据容错与一致性：系统监测到数据缺失（如无电流但有电压）或逻辑不合规（未来时间戳）时，需标记为“数据不完整”或“待核实”，而非直接中断服务</w:t>
      </w:r>
    </w:p>
    <w:p w14:paraId="4754E72F">
      <w:pPr>
        <w:numPr>
          <w:ilvl w:val="0"/>
          <w:numId w:val="5"/>
        </w:numPr>
        <w:ind w:left="0" w:leftChars="0" w:firstLine="0" w:firstLineChars="0"/>
        <w:rPr>
          <w:rFonts w:hint="eastAsia"/>
        </w:rPr>
      </w:pPr>
      <w:r>
        <w:rPr>
          <w:rFonts w:hint="eastAsia"/>
          <w:lang w:val="en-US" w:eastAsia="zh-CN"/>
        </w:rPr>
        <w:t>备份</w:t>
      </w:r>
      <w:r>
        <w:rPr>
          <w:rFonts w:hint="eastAsia"/>
        </w:rPr>
        <w:t>份与恢复策略：实施每日增量备份与每周全量备份，确保故障发生时数据恢复时间(RTO)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小4小时，数据丢失量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(RPO)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接近于零</w:t>
      </w:r>
    </w:p>
    <w:p w14:paraId="4CF7D0B0"/>
    <w:p w14:paraId="409623D8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:lang w:val="en-US" w:eastAsia="zh-CN" w:bidi="ar"/>
        </w:rPr>
        <w:t>数据完整性约束</w:t>
      </w:r>
    </w:p>
    <w:p w14:paraId="3424FE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1）实体之间的引用完整性</w:t>
      </w:r>
    </w:p>
    <w:p w14:paraId="263A8CE7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  <w:u w:val="single"/>
        </w:rPr>
        <w:t>基础档案引用</w:t>
      </w:r>
      <w:r>
        <w:rPr>
          <w:b w:val="0"/>
          <w:bCs w:val="0"/>
          <w:sz w:val="21"/>
          <w:szCs w:val="21"/>
        </w:rPr>
        <w:t>：</w:t>
      </w:r>
    </w:p>
    <w:p w14:paraId="5C75C5A1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回路监测数据中的“配电房编号”和“回路编号”必须分别在“配电房表”和“回路数据表”中存在</w:t>
      </w:r>
    </w:p>
    <w:p w14:paraId="192C3CFB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变压器监测数据中的“配电房编号”和“变压器编号”必须在“变压器实体”中存在</w:t>
      </w:r>
    </w:p>
    <w:p w14:paraId="4DCCC2E9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光伏发电数据、预测数据中的“设备编号”或“并网点编号”必须对应“光伏设备表”或“并网点表”</w:t>
      </w:r>
    </w:p>
    <w:p w14:paraId="7A9184CC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能耗监测数据中的“设备编号”必须对应“能耗计量设备表”，其“所属厂区编号”必须对应“厂区信息表”</w:t>
      </w:r>
    </w:p>
    <w:p w14:paraId="723E98CF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b w:val="0"/>
          <w:bCs w:val="0"/>
          <w:sz w:val="21"/>
          <w:szCs w:val="21"/>
          <w:u w:val="single"/>
        </w:rPr>
        <w:t>角色与人员关联</w:t>
      </w:r>
      <w:r>
        <w:rPr>
          <w:rFonts w:hint="eastAsia"/>
          <w:b w:val="0"/>
          <w:bCs w:val="0"/>
          <w:sz w:val="21"/>
          <w:szCs w:val="21"/>
          <w:lang w:eastAsia="zh-CN"/>
        </w:rPr>
        <w:t>：</w:t>
      </w:r>
    </w:p>
    <w:p w14:paraId="649A8CC9">
      <w:pPr>
        <w:pStyle w:val="3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所</w:t>
      </w: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有业务人员（运维人员、系统管理员、数据分析师、能源管理员、企业管理人员）的“人员编号”必须作为外键，严格引用“系统人员表”的主键</w:t>
      </w:r>
    </w:p>
    <w:p w14:paraId="5FC5C614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  <w:u w:val="single"/>
        </w:rPr>
      </w:pPr>
      <w:r>
        <w:rPr>
          <w:b w:val="0"/>
          <w:bCs w:val="0"/>
          <w:sz w:val="21"/>
          <w:szCs w:val="21"/>
          <w:u w:val="single"/>
        </w:rPr>
        <w:t>告警与工单联动：</w:t>
      </w:r>
    </w:p>
    <w:p w14:paraId="6F1478AF">
      <w:pPr>
        <w:pStyle w:val="3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 xml:space="preserve">运维工单数据中的“告警编号”必须在“告警信息表”中存在 </w:t>
      </w:r>
    </w:p>
    <w:p w14:paraId="3FA61E48">
      <w:pPr>
        <w:pStyle w:val="3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840" w:leftChars="0" w:hanging="420" w:firstLineChars="0"/>
        <w:jc w:val="left"/>
        <w:textAlignment w:val="auto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运维人员、工单人员所处理的“工单编号”或“告警编号”必须能在对应</w:t>
      </w:r>
    </w:p>
    <w:p w14:paraId="07CB8D12">
      <w:pPr>
        <w:rPr>
          <w:rFonts w:hint="eastAsia"/>
        </w:rPr>
      </w:pPr>
    </w:p>
    <w:p w14:paraId="55032A55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2）数据类型与范围完整性</w:t>
      </w:r>
    </w:p>
    <w:p w14:paraId="59B08D2E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  <w:u w:val="single"/>
        </w:rPr>
      </w:pPr>
      <w:r>
        <w:rPr>
          <w:b w:val="0"/>
          <w:bCs w:val="0"/>
          <w:sz w:val="21"/>
          <w:szCs w:val="21"/>
          <w:u w:val="single"/>
        </w:rPr>
        <w:t>系统用户与状态：</w:t>
      </w:r>
    </w:p>
    <w:p w14:paraId="5E4E8129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role_type（角色类型）仅限：'ADMIN', 'OM', 'ENERGY', 'ANALYST', 'EXEC' </w:t>
      </w:r>
    </w:p>
    <w:p w14:paraId="28C41931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status（账号状态）必须为 1（正常）或 0（冻结/锁定）</w:t>
      </w:r>
    </w:p>
    <w:p w14:paraId="462001B6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  <w:u w:val="single"/>
        </w:rPr>
      </w:pPr>
      <w:r>
        <w:rPr>
          <w:b w:val="0"/>
          <w:bCs w:val="0"/>
          <w:sz w:val="21"/>
          <w:szCs w:val="21"/>
          <w:u w:val="single"/>
        </w:rPr>
        <w:t>业务线一：配电网监测</w:t>
      </w:r>
    </w:p>
    <w:p w14:paraId="0702EA8A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电压、电流、功率类字段必须为非负值 </w:t>
      </w:r>
    </w:p>
    <w:p w14:paraId="269D701A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开关状态仅限：'合闸'、'分闸' </w:t>
      </w:r>
    </w:p>
    <w:p w14:paraId="40C7F924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功率因数范围：0 ~ 1；温度范围：-40℃ ~ 200℃；负载率范围：0 ~ 500% </w:t>
      </w:r>
    </w:p>
    <w:p w14:paraId="63F0CC27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1"/>
          <w:szCs w:val="21"/>
          <w:u w:val="single"/>
        </w:rPr>
      </w:pPr>
      <w:r>
        <w:rPr>
          <w:rFonts w:hint="default"/>
          <w:b w:val="0"/>
          <w:bCs w:val="0"/>
          <w:sz w:val="21"/>
          <w:szCs w:val="21"/>
          <w:u w:val="single"/>
        </w:rPr>
        <w:t>业务线二：光伏管理</w:t>
      </w:r>
    </w:p>
    <w:p w14:paraId="43327362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发电量、电量相关字段、电压、电流均必须 ≥ 0 </w:t>
      </w:r>
    </w:p>
    <w:p w14:paraId="0B293FD5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设备类型限：'逆变器'、'汇流箱'；运行状态限：'正常'、'故障'、'离线'；通信协议限：'RS485'、'Lora' </w:t>
      </w:r>
    </w:p>
    <w:p w14:paraId="5675B695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逆变器效率范围：0 ~ 100% </w:t>
      </w:r>
    </w:p>
    <w:p w14:paraId="4549130E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1"/>
          <w:szCs w:val="21"/>
          <w:u w:val="single"/>
        </w:rPr>
      </w:pPr>
      <w:r>
        <w:rPr>
          <w:rFonts w:hint="default"/>
          <w:b w:val="0"/>
          <w:bCs w:val="0"/>
          <w:sz w:val="21"/>
          <w:szCs w:val="21"/>
          <w:u w:val="single"/>
        </w:rPr>
        <w:t>业务线三：综合能耗管理</w:t>
      </w:r>
    </w:p>
    <w:p w14:paraId="1F377C11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能源类型限：'电'、'水'、'蒸汽'、'天然气' </w:t>
      </w:r>
    </w:p>
    <w:p w14:paraId="254ED3E5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数据质量限：'优'、'良'、'中'、'差' </w:t>
      </w:r>
    </w:p>
    <w:p w14:paraId="0730D07E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能耗数值及成本字段（能耗值、尖峰/高峰/平段/低谷能耗、总能耗、成本）均必须 ≥ 0 </w:t>
      </w:r>
    </w:p>
    <w:p w14:paraId="540E45A2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1"/>
          <w:szCs w:val="21"/>
          <w:u w:val="single"/>
        </w:rPr>
      </w:pPr>
      <w:r>
        <w:rPr>
          <w:rFonts w:hint="default"/>
          <w:b w:val="0"/>
          <w:bCs w:val="0"/>
          <w:sz w:val="21"/>
          <w:szCs w:val="21"/>
          <w:u w:val="single"/>
        </w:rPr>
        <w:t>业务线四：告警运维管理</w:t>
      </w:r>
    </w:p>
    <w:p w14:paraId="2D13977C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告警等级限：'高'、'中'、'低'；处理状态限：'未处理'、'处理中'、'已结案' 。</w:t>
      </w:r>
    </w:p>
    <w:p w14:paraId="445E8926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复查状态限：'通过'、'未通过' 。</w:t>
      </w:r>
    </w:p>
    <w:p w14:paraId="147C41DB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 xml:space="preserve">设备类型限：'变压器'、'水表'、'逆变器'；报废状态限：'正常使用'、'已报废' </w:t>
      </w:r>
    </w:p>
    <w:p w14:paraId="61C21ACF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/>
        <w:ind w:left="420" w:leftChars="0" w:hanging="420" w:firstLineChars="0"/>
        <w:jc w:val="left"/>
        <w:textAlignment w:val="auto"/>
      </w:pPr>
      <w:r>
        <w:rPr>
          <w:rFonts w:hint="default"/>
          <w:b w:val="0"/>
          <w:bCs w:val="0"/>
          <w:sz w:val="21"/>
          <w:szCs w:val="21"/>
          <w:u w:val="single"/>
        </w:rPr>
        <w:t>业务线五：大屏数据展示</w:t>
      </w:r>
    </w:p>
    <w:p w14:paraId="4080A53D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展示模块限：'能源总览'、'光伏总览'、'配电网运行状态'、'告警统计' 。</w:t>
      </w:r>
    </w:p>
    <w:p w14:paraId="00FD284D">
      <w:pPr>
        <w:numPr>
          <w:ilvl w:val="1"/>
          <w:numId w:val="6"/>
        </w:numPr>
        <w:ind w:left="840" w:leftChars="0" w:hanging="420" w:firstLineChars="0"/>
      </w:pPr>
      <w:r>
        <w:rPr>
          <w:rFonts w:hint="eastAsia"/>
        </w:rPr>
        <w:t>统计周期限：'日'、'周'、'月' 。</w:t>
      </w:r>
    </w:p>
    <w:p w14:paraId="6A5056F7">
      <w:pPr>
        <w:numPr>
          <w:numId w:val="0"/>
        </w:numPr>
        <w:ind w:left="420" w:leftChars="0"/>
      </w:pPr>
    </w:p>
    <w:p w14:paraId="56B9B7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3）监测数据时间完整性</w:t>
      </w:r>
    </w:p>
    <w:p w14:paraId="2530B85C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所有实时采集数据（回路、变压器、光伏、能耗）的时间戳必须精确到分钟 。</w:t>
      </w:r>
    </w:p>
    <w:p w14:paraId="69C831CE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历史趋势数据的“统计时间”必须符合其“统计周期”定义的日期格式 。</w:t>
      </w:r>
    </w:p>
    <w:p w14:paraId="08DF5761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不允许出现未来时间的采集记录，同一设备同一分钟不得出现重复记录 。</w:t>
      </w:r>
    </w:p>
    <w:p w14:paraId="37C7E8F9">
      <w:pPr>
        <w:numPr>
          <w:numId w:val="0"/>
        </w:numPr>
        <w:ind w:left="420" w:leftChars="0"/>
        <w:rPr>
          <w:rFonts w:hint="eastAsia"/>
        </w:rPr>
      </w:pPr>
    </w:p>
    <w:p w14:paraId="7B27C98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4）业务规则完整性</w:t>
      </w:r>
    </w:p>
    <w:p w14:paraId="1D9C1DEE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配电与光伏：遵循阈值判定规则生成告警，告警需严格遵循“触发→指派→处理→关闭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的生命周期。</w:t>
      </w:r>
    </w:p>
    <w:p w14:paraId="0992B667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光伏预测：偏差率由公式</w:t>
      </w:r>
      <w:r>
        <w:rPr>
          <w:rFonts w:hint="eastAsia"/>
          <w:lang w:val="en-US" w:eastAsia="zh-CN"/>
        </w:rPr>
        <w:t xml:space="preserve"> 【</w:t>
      </w:r>
      <w:r>
        <w:rPr>
          <w:rFonts w:hint="default"/>
          <w:lang w:val="en-US" w:eastAsia="zh-CN"/>
        </w:rPr>
        <w:t>(实际值-预测值) /预测值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>100%</w:t>
      </w:r>
      <w:r>
        <w:rPr>
          <w:rFonts w:hint="eastAsia"/>
          <w:lang w:val="en-US" w:eastAsia="zh-CN"/>
        </w:rPr>
        <w:t xml:space="preserve">】 </w:t>
      </w:r>
      <w:r>
        <w:rPr>
          <w:rFonts w:hint="default"/>
          <w:lang w:val="en-US" w:eastAsia="zh-CN"/>
        </w:rPr>
        <w:t>计算，连续3天&gt;15% 自动生成模型优化提醒</w:t>
      </w:r>
    </w:p>
    <w:p w14:paraId="27275850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能耗峰谷：峰谷能耗统计中的“总能耗”必须等于该记录内“尖峰+高峰+平段+低谷”能耗之和</w:t>
      </w:r>
    </w:p>
    <w:p w14:paraId="4DC0B116">
      <w:pPr>
        <w:numPr>
          <w:ilvl w:val="1"/>
          <w:numId w:val="6"/>
        </w:numPr>
        <w:ind w:left="840" w:leftChars="0" w:hanging="420" w:firstLineChars="0"/>
        <w:rPr>
          <w:rFonts w:hint="eastAsia"/>
        </w:rPr>
      </w:pPr>
      <w:r>
        <w:rPr>
          <w:rFonts w:hint="default"/>
        </w:rPr>
        <w:t>运维响应：工单中的“响应时间”必须晚于“派单时间”，“处理完成时间”必须晚于“响应时间”</w:t>
      </w:r>
    </w:p>
    <w:p w14:paraId="038EDB3A">
      <w:pPr>
        <w:numPr>
          <w:numId w:val="0"/>
        </w:numPr>
        <w:ind w:left="420" w:leftChars="0"/>
        <w:rPr>
          <w:rFonts w:hint="eastAsia"/>
        </w:rPr>
      </w:pPr>
    </w:p>
    <w:p w14:paraId="2E8A868D">
      <w:pPr>
        <w:numPr>
          <w:ilvl w:val="0"/>
          <w:numId w:val="7"/>
        </w:num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完整性检查机制</w:t>
      </w:r>
    </w:p>
    <w:p w14:paraId="6A9EE36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系统必须对以下情况进行完整性校验：</w:t>
      </w:r>
    </w:p>
    <w:p w14:paraId="4621751D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数据合理性：如无电流但有电压、功率与电量逻辑冲突。</w:t>
      </w:r>
      <w:r>
        <w:rPr>
          <w:rFonts w:hint="eastAsia"/>
          <w:lang w:val="en-US" w:eastAsia="zh-CN"/>
        </w:rPr>
        <w:t>不合规时间戳（如同一时间点重复上报）</w:t>
      </w:r>
    </w:p>
    <w:p w14:paraId="592BF7EF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非空校验：人员编号、设备编号、配电房编号、采集时间等关键属性不得为空 </w:t>
      </w:r>
    </w:p>
    <w:p w14:paraId="44D670EC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唯一性校验：登录账号、各实体的主键 ID（如人员编号、设备编号、配置编号）必须全局唯一</w:t>
      </w:r>
    </w:p>
    <w:p w14:paraId="4D19125F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外键引用必须存在：</w:t>
      </w:r>
      <w:r>
        <w:rPr>
          <w:rFonts w:hint="default"/>
          <w:lang w:val="en-US" w:eastAsia="zh-CN"/>
        </w:rPr>
        <w:t>在删除设备或人员档案时，必须预先处理其关联的监测数据或业务单据，以防出现“孤儿记录”</w:t>
      </w:r>
    </w:p>
    <w:p w14:paraId="1F76D0FB"/>
    <w:p w14:paraId="048B371A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leftChars="0" w:firstLine="0" w:firstLineChars="0"/>
        <w:textAlignment w:val="auto"/>
        <w:outlineLvl w:val="2"/>
      </w:pPr>
      <w:r>
        <w:t>节能性与成本控制</w:t>
      </w:r>
    </w:p>
    <w:p w14:paraId="42CC1088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存储压缩策略：针对海量历史监测数据（如回路采集数据），建议采用列式存储或数据压缩技术，将存储成本降低30%以上。</w:t>
      </w:r>
    </w:p>
    <w:p w14:paraId="47F9C7AE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冷热分层存储：</w:t>
      </w:r>
    </w:p>
    <w:p w14:paraId="6BB8CB47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热数据：近30天的实时监测数据，存储在高性能存储介质中，确保快速查询。</w:t>
      </w:r>
    </w:p>
    <w:p w14:paraId="6A98A062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冷数据：超过1年的明细数据自动转储至低成本存储，仅保留统计后的聚合指标。</w:t>
      </w:r>
    </w:p>
    <w:p w14:paraId="4EB95CD5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计算资源优化：大屏实时统计任务采用缓存技术，避免对原始监测表进行全表扫描，降低数据库计算资源成本。</w:t>
      </w:r>
    </w:p>
    <w:p w14:paraId="230AD9AF">
      <w:pPr>
        <w:rPr>
          <w:rFonts w:hint="eastAsia"/>
        </w:rPr>
      </w:pPr>
    </w:p>
    <w:p w14:paraId="2C2CDB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012F35"/>
    <w:multiLevelType w:val="singleLevel"/>
    <w:tmpl w:val="83012F3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39D71B9"/>
    <w:multiLevelType w:val="singleLevel"/>
    <w:tmpl w:val="A39D71B9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C1A3FB47"/>
    <w:multiLevelType w:val="singleLevel"/>
    <w:tmpl w:val="C1A3FB4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E2536C55"/>
    <w:multiLevelType w:val="singleLevel"/>
    <w:tmpl w:val="E2536C5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 w:asciiTheme="minorAscii" w:hAnsiTheme="minorAscii"/>
      </w:rPr>
    </w:lvl>
  </w:abstractNum>
  <w:abstractNum w:abstractNumId="4">
    <w:nsid w:val="32781866"/>
    <w:multiLevelType w:val="multilevel"/>
    <w:tmpl w:val="32781866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3"/>
        <w:szCs w:val="13"/>
      </w:rPr>
    </w:lvl>
    <w:lvl w:ilvl="1" w:tentative="0">
      <w:start w:val="1"/>
      <w:numFmt w:val="bullet"/>
      <w:suff w:val="space"/>
      <w:lvlText w:val=""/>
      <w:lvlJc w:val="left"/>
      <w:pPr>
        <w:ind w:left="840" w:leftChars="0" w:hanging="420" w:firstLineChars="0"/>
      </w:pPr>
      <w:rPr>
        <w:rFonts w:hint="default" w:ascii="Wingdings" w:hAnsi="Wingdings"/>
        <w:sz w:val="10"/>
        <w:szCs w:val="10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4C3773A5"/>
    <w:multiLevelType w:val="singleLevel"/>
    <w:tmpl w:val="4C3773A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6C28BD35"/>
    <w:multiLevelType w:val="singleLevel"/>
    <w:tmpl w:val="6C28BD3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78F7F1F2"/>
    <w:multiLevelType w:val="singleLevel"/>
    <w:tmpl w:val="78F7F1F2"/>
    <w:lvl w:ilvl="0" w:tentative="0">
      <w:start w:val="5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916077"/>
    <w:rsid w:val="01CD7566"/>
    <w:rsid w:val="03757628"/>
    <w:rsid w:val="043D6C25"/>
    <w:rsid w:val="04583A5F"/>
    <w:rsid w:val="07041C7C"/>
    <w:rsid w:val="087C541A"/>
    <w:rsid w:val="0E5145A0"/>
    <w:rsid w:val="0E916077"/>
    <w:rsid w:val="11934EA9"/>
    <w:rsid w:val="11A77DD3"/>
    <w:rsid w:val="12A12A75"/>
    <w:rsid w:val="1A5B6C04"/>
    <w:rsid w:val="200705B3"/>
    <w:rsid w:val="201D3F72"/>
    <w:rsid w:val="21CC7139"/>
    <w:rsid w:val="21CD73E2"/>
    <w:rsid w:val="22C73E32"/>
    <w:rsid w:val="23A139DA"/>
    <w:rsid w:val="28447CD2"/>
    <w:rsid w:val="2B924EA7"/>
    <w:rsid w:val="2CD11238"/>
    <w:rsid w:val="2D641828"/>
    <w:rsid w:val="368E228F"/>
    <w:rsid w:val="392451D4"/>
    <w:rsid w:val="3BD526EC"/>
    <w:rsid w:val="3C5502A8"/>
    <w:rsid w:val="46BD0F24"/>
    <w:rsid w:val="49496F4A"/>
    <w:rsid w:val="4A8973F7"/>
    <w:rsid w:val="4E766588"/>
    <w:rsid w:val="528C2481"/>
    <w:rsid w:val="52EF06B7"/>
    <w:rsid w:val="535F3A8F"/>
    <w:rsid w:val="53F62CA9"/>
    <w:rsid w:val="551C7BD3"/>
    <w:rsid w:val="5BAD7361"/>
    <w:rsid w:val="5C425CFC"/>
    <w:rsid w:val="5C5123E2"/>
    <w:rsid w:val="5E451AD3"/>
    <w:rsid w:val="5EB35B5E"/>
    <w:rsid w:val="5FC811E3"/>
    <w:rsid w:val="66F44096"/>
    <w:rsid w:val="68093B71"/>
    <w:rsid w:val="6C615D2A"/>
    <w:rsid w:val="6DE52764"/>
    <w:rsid w:val="77933457"/>
    <w:rsid w:val="78FD502C"/>
    <w:rsid w:val="7C9B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1459</Words>
  <Characters>1521</Characters>
  <Lines>0</Lines>
  <Paragraphs>0</Paragraphs>
  <TotalTime>2</TotalTime>
  <ScaleCrop>false</ScaleCrop>
  <LinksUpToDate>false</LinksUpToDate>
  <CharactersWithSpaces>1570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2025-12-20T15:38:00Z</dcterms:created>
  <dc:creator>Wollum</dc:creator>
  <cp:lastModifiedBy>Wollum</cp:lastModifiedBy>
  <dcterms:modified xsi:type="dcterms:W3CDTF">2026-01-01T08:17:48Z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4E8D972734044D8E9973793F248D6B06_11</vt:lpwstr>
  </property>
  <property fmtid="{D5CDD505-2E9C-101B-9397-08002B2CF9AE}" pid="4" name="KSOTemplateDocerSaveRecord">
    <vt:lpwstr>eyJoZGlkIjoiMjMyZWVjMDkyZTU2NTQzYWFmYTY2ZDUxMmJkM2M3YzkiLCJ1c2VySWQiOiIxMzk2OTcxNzUyIn0=</vt:lpwstr>
  </property>
</Properties>
</file>