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0B2545"/>
          <w:sz w:val="46"/>
        </w:rPr>
        <w:t>Desafio 4 — Estado anterior recebido</w:t>
      </w:r>
    </w:p>
    <w:p>
      <w:pPr>
        <w:spacing w:after="320"/>
      </w:pPr>
      <w:r>
        <w:rPr>
          <w:rFonts w:ascii="Calibri" w:hAnsi="Calibri"/>
          <w:b w:val="0"/>
          <w:i w:val="0"/>
          <w:color w:val="4B5563"/>
          <w:sz w:val="26"/>
        </w:rPr>
        <w:t>Análise dos artefatos enviados pelo integrante do grupo</w:t>
      </w:r>
    </w:p>
    <w:p>
      <w:pPr>
        <w:spacing w:after="280"/>
      </w:pPr>
      <w:r>
        <w:rPr>
          <w:rFonts w:ascii="Calibri" w:hAnsi="Calibri"/>
          <w:b w:val="0"/>
          <w:i w:val="0"/>
          <w:color w:val="6B7280"/>
          <w:sz w:val="19"/>
        </w:rPr>
        <w:t>Data: 12 de agosto de 2026  |  Projeto: Desafio 4 — Multiagente de consulta de CSV</w:t>
      </w:r>
    </w:p>
    <w:p>
      <w:pPr>
        <w:pStyle w:val="Heading1"/>
      </w:pPr>
      <w:r>
        <w:t>1. Escopo analisado</w:t>
      </w:r>
    </w:p>
    <w:p>
      <w:r>
        <w:rPr>
          <w:rFonts w:ascii="Calibri" w:hAnsi="Calibri"/>
          <w:b w:val="0"/>
          <w:i w:val="0"/>
          <w:color w:val="000000"/>
          <w:sz w:val="22"/>
        </w:rPr>
        <w:t>Foram analisados o ZIP de código-fonte, o HTML do orquestrador e o relatório técnico recebidos. Também foram confrontados os achados com o desafio original e com os artefatos anteriores enviados no primeiro conjunto de arquivos.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Artefato</w:t>
            </w:r>
          </w:p>
        </w:tc>
        <w:tc>
          <w:tcPr>
            <w:tcW w:type="dxa" w:w="67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Constatação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desafio4_codigo_fonte.zip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Pacote estático com src/index.html, README e LICENSE; não havia backend nem requirements.txt.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desafio4_orquestrador.html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Cópia idêntica do HTML contido no ZIP; usa JSZip, PapaParse e Chart.js via CDN.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relatorio_tecnico_desafio4.pdf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Relatório legível, porém declarava aplicação client-side e não identificava LangChain, Pydantic AI, CrewAI ou outro framework obrigatório.</w:t>
            </w:r>
          </w:p>
        </w:tc>
      </w:tr>
    </w:tbl>
    <w:p>
      <w:pPr>
        <w:spacing w:after="40"/>
      </w:pPr>
    </w:p>
    <w:p>
      <w:pPr>
        <w:pStyle w:val="Heading1"/>
      </w:pPr>
      <w:r>
        <w:t>2. Pontos positivos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A interface previa upload de ZIP, área de consulta e visualização de resultados.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O código fazia leitura de CSV em memória e tinha uma heurística local para responder sem API.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O relatório descrevia componentes, fluxo e limitações com boa legibilidade visual.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O material preservava os dados em memória e não executava código arbitrário gerado pelo modelo.</w:t>
      </w:r>
    </w:p>
    <w:p>
      <w:pPr>
        <w:pStyle w:val="Heading1"/>
      </w:pPr>
      <w:r>
        <w:t>3. Pontos que impediam uma validação segura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Área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Evidência encontrada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Impacto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Framework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Não havia uso efetivo de uma das opções obrigatórias do enunciado.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Critério obrigatório não demonstrado.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Execução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 .py anterior continha comandos de notebook como !pip e não era um script Python executável.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Reprodutibilidade comprometida.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Consultas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As primeiras respostas misturavam contagem de linhas de itens com número de notas e não agrupavam alguns pedidos.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Risco de respostas numericamente incorretas.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Relatório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 PDF registrava logs e limitações, mas não apresentava uma cadeia verificável de execução final.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Evidência técnica insuficiente para entrega.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Dicionário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 carregador tratava CSVs, mas não havia suporte claro a um arquivo de dicionário dentro do ZIP.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Interface não atendia integralmente ao requisito de dicionário.</w:t>
            </w:r>
          </w:p>
        </w:tc>
      </w:tr>
    </w:tbl>
    <w:p>
      <w:pPr>
        <w:spacing w:after="40"/>
      </w:pPr>
    </w:p>
    <w:p>
      <w:pPr>
        <w:pStyle w:val="Heading1"/>
      </w:pPr>
      <w:r>
        <w:t>4. Conclusão da análise anterior</w:t>
      </w:r>
    </w:p>
    <w:p>
      <w:r>
        <w:rPr>
          <w:rFonts w:ascii="Calibri" w:hAnsi="Calibri"/>
          <w:b w:val="0"/>
          <w:i w:val="0"/>
          <w:color w:val="000000"/>
          <w:sz w:val="22"/>
        </w:rPr>
        <w:t>A versão recebida servia como protótipo visual e ponto de partida, mas ainda não era uma entrega reprodutível do desafio. A correção exigia explicitar um framework de agentes, separar planejamento de execução, corrigir as agregações e entregar uma forma objetiva de testar os resultados.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8"/>
      </w:rPr>
      <w:t>Desafio 4 | i2a2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6B7280"/>
        <w:sz w:val="18"/>
      </w:rPr>
      <w:t>Análise de versão recebida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