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0B2545"/>
          <w:sz w:val="46"/>
        </w:rPr>
        <w:t>Desafio 4 — Implementação atual</w:t>
      </w:r>
    </w:p>
    <w:p>
      <w:pPr>
        <w:spacing w:after="320"/>
      </w:pPr>
      <w:r>
        <w:rPr>
          <w:rFonts w:ascii="Calibri" w:hAnsi="Calibri"/>
          <w:b w:val="0"/>
          <w:i w:val="0"/>
          <w:color w:val="4B5563"/>
          <w:sz w:val="26"/>
        </w:rPr>
        <w:t>O que foi montado, corrigido e validado nesta etapa</w:t>
      </w:r>
    </w:p>
    <w:p>
      <w:pPr>
        <w:spacing w:after="280"/>
      </w:pPr>
      <w:r>
        <w:rPr>
          <w:rFonts w:ascii="Calibri" w:hAnsi="Calibri"/>
          <w:b w:val="0"/>
          <w:i w:val="0"/>
          <w:color w:val="6B7280"/>
          <w:sz w:val="19"/>
        </w:rPr>
        <w:t>Data: 12 de agosto de 2026  |  Projeto: Desafio 4 — Multiagente de consulta de CSV</w:t>
      </w:r>
    </w:p>
    <w:p>
      <w:pPr>
        <w:pStyle w:val="Heading1"/>
      </w:pPr>
      <w:r>
        <w:t>1. Resultado entregue</w:t>
      </w:r>
    </w:p>
    <w:p>
      <w:r>
        <w:rPr>
          <w:rFonts w:ascii="Calibri" w:hAnsi="Calibri"/>
          <w:b w:val="0"/>
          <w:i w:val="0"/>
          <w:color w:val="000000"/>
          <w:sz w:val="22"/>
        </w:rPr>
        <w:t>Foi montada uma aplicação Streamlit completa, com leitura segura de ZIP, identificação de CSVs e dicionário, schema inferido, agente LangChain opcional com saída estruturada Pydantic, fallback local determinístico e execução segura com Pandas.</w:t>
      </w:r>
    </w:p>
    <w:p>
      <w:pPr>
        <w:pStyle w:val="Heading1"/>
      </w:pPr>
      <w:r>
        <w:t>2. Componentes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Componente</w:t>
            </w:r>
          </w:p>
        </w:tc>
        <w:tc>
          <w:tcPr>
            <w:tcW w:type="dxa" w:w="67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Responsabilidade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app.py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Fornece as interfaces de carga, consulta e exportação de evidências.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src/csv_loader.py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Valida caminhos do ZIP, limites de tamanho, codificação e leitura de CSV/dicionário.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src/models.py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Define QueryPlan, agregações, filtros e ordenação com Pydantic.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src/agent.py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Implementa o agente local e o agente LangChain com structured output e fallback.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src/data_engine.py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Executa somente operações permitidas: soma, média, contagem, agrupamento, ordenação e limite.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tests/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Bateria automatizada com nove testes unitários.</w:t>
            </w:r>
          </w:p>
        </w:tc>
      </w:tr>
    </w:tbl>
    <w:p>
      <w:pPr>
        <w:spacing w:after="40"/>
      </w:pPr>
    </w:p>
    <w:p>
      <w:pPr>
        <w:pStyle w:val="Heading1"/>
      </w:pPr>
      <w:r>
        <w:t>3. Fluxo de execução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Usuário envia um ZIP pela interface Streamlit.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LoaderAgent valida o arquivo e carrega os CSVs em memória.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SchemaAgent descreve colunas, tipos, nulos e exemplos; o dicionário enviado é exibido quando identificado.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QueryAgent converte a pergunta em QueryPlan. Com chave Anthropic usa LangChain; sem chave usa o planejador local.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ExecutorAgent aplica o plano sobre Pandas sem avaliar código do modelo.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VizAgent apresenta texto, tabela e gráfico, e a aba de evidências exporta schema e histórico.</w:t>
      </w:r>
    </w:p>
    <w:p>
      <w:pPr>
        <w:pStyle w:val="Heading1"/>
      </w:pPr>
      <w:r>
        <w:t>4. Validação realizada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Consulta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Resultado verificado na base 202401_NFs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Valor total das notas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R$ 3.371.754,84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 emitentes por maior valor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CHEMYUNION LTDA em primeiro — R$ 1.292.418,75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UF do destinatário com mais notas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DF — 26 notas distintas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Quantidade por NCM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49019900 em primeiro — 68.684 unidades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CFOP mais frequente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6906 — 277 linhas de itens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>Além dessas cinco evidências, foram executadas consultas de média por nota, distribuição de consumidor final, distribuição por natureza, notas por município, contagem por UF do emitente e listagem das dez notas de maior valor.</w:t>
      </w:r>
    </w:p>
    <w:p>
      <w:pPr>
        <w:pStyle w:val="Heading1"/>
      </w:pPr>
      <w:r>
        <w:t>5. Decisões e limites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A API é opcional para manter o MVP demonstrável sem segredo e sem rede.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O framework LangChain permanece no código e é ativado quando ANTHROPIC_API_KEY está configurada.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O fallback local é intencional, testável e não executa código arbitrário.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Joins complexos, regras fiscais especializadas e perguntas fora do schema ficam fora do escopo do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8"/>
      </w:rPr>
      <w:t>Desafio 4 | i2a2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B7280"/>
        <w:sz w:val="18"/>
      </w:rPr>
      <w:t>Documentação da solução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