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4A88" w14:textId="6ED7D7DF" w:rsidR="05604725" w:rsidRDefault="05604725" w:rsidP="14DAB921">
      <w:pPr>
        <w:spacing w:after="0"/>
        <w:jc w:val="center"/>
      </w:pPr>
      <w:r w:rsidRPr="7EF977E3">
        <w:rPr>
          <w:rFonts w:ascii="Aptos" w:eastAsia="Aptos" w:hAnsi="Aptos" w:cs="Aptos"/>
          <w:b/>
          <w:bCs/>
          <w:color w:val="E97132" w:themeColor="accent2"/>
          <w:sz w:val="44"/>
          <w:szCs w:val="44"/>
        </w:rPr>
        <w:t>A Digital-First Experience</w:t>
      </w:r>
    </w:p>
    <w:p w14:paraId="5653B373" w14:textId="77F050DF" w:rsidR="18EECC10" w:rsidRPr="00A42439" w:rsidRDefault="18EECC10" w:rsidP="00A42439">
      <w:pPr>
        <w:pStyle w:val="Heading3"/>
        <w:spacing w:before="281" w:after="0"/>
        <w:rPr>
          <w:sz w:val="24"/>
          <w:szCs w:val="24"/>
        </w:rPr>
      </w:pPr>
      <w:r w:rsidRPr="00A42439">
        <w:rPr>
          <w:rFonts w:ascii="Aptos" w:eastAsia="Aptos" w:hAnsi="Aptos" w:cs="Aptos"/>
          <w:b/>
          <w:bCs/>
          <w:sz w:val="24"/>
          <w:szCs w:val="24"/>
        </w:rPr>
        <w:t>Hackathon Topic</w:t>
      </w:r>
      <w:r w:rsidR="00A42439">
        <w:rPr>
          <w:rFonts w:ascii="Aptos" w:eastAsia="Aptos" w:hAnsi="Aptos" w:cs="Aptos"/>
          <w:b/>
          <w:bCs/>
          <w:sz w:val="24"/>
          <w:szCs w:val="24"/>
        </w:rPr>
        <w:t xml:space="preserve"> 2</w:t>
      </w:r>
      <w:r w:rsidRPr="00A42439">
        <w:rPr>
          <w:rFonts w:ascii="Aptos" w:eastAsia="Aptos" w:hAnsi="Aptos" w:cs="Aptos"/>
          <w:b/>
          <w:bCs/>
          <w:sz w:val="24"/>
          <w:szCs w:val="24"/>
        </w:rPr>
        <w:t>:</w:t>
      </w:r>
    </w:p>
    <w:p w14:paraId="13BB2D9D" w14:textId="0E9CB98A" w:rsidR="18EECC10" w:rsidRPr="00A42439" w:rsidRDefault="18EECC10" w:rsidP="00A42439">
      <w:pPr>
        <w:spacing w:after="240"/>
      </w:pPr>
      <w:r w:rsidRPr="00A42439">
        <w:rPr>
          <w:rFonts w:ascii="Aptos" w:eastAsia="Aptos" w:hAnsi="Aptos" w:cs="Aptos"/>
          <w:i/>
          <w:iCs/>
        </w:rPr>
        <w:t>"Is there a world where there is a standard for reporting current and future income payments from annuities?"</w:t>
      </w:r>
    </w:p>
    <w:p w14:paraId="10593E51" w14:textId="33168EFE" w:rsidR="18EECC10" w:rsidRPr="00A42439" w:rsidRDefault="18EECC10" w:rsidP="00A42439">
      <w:pPr>
        <w:pStyle w:val="Heading3"/>
        <w:spacing w:before="281" w:after="0"/>
        <w:rPr>
          <w:sz w:val="24"/>
          <w:szCs w:val="24"/>
        </w:rPr>
      </w:pPr>
      <w:r w:rsidRPr="00A42439">
        <w:rPr>
          <w:rFonts w:ascii="Aptos" w:eastAsia="Aptos" w:hAnsi="Aptos" w:cs="Aptos"/>
          <w:b/>
          <w:bCs/>
          <w:sz w:val="24"/>
          <w:szCs w:val="24"/>
        </w:rPr>
        <w:t>Current State &amp; Why It’s an Issue:</w:t>
      </w:r>
    </w:p>
    <w:p w14:paraId="62268D41" w14:textId="1F0040BD" w:rsidR="18EECC10" w:rsidRPr="00A42439" w:rsidRDefault="18EECC10" w:rsidP="00A42439">
      <w:pPr>
        <w:spacing w:after="240"/>
      </w:pPr>
      <w:r w:rsidRPr="00A42439">
        <w:rPr>
          <w:rFonts w:ascii="Aptos" w:eastAsia="Aptos" w:hAnsi="Aptos" w:cs="Aptos"/>
        </w:rPr>
        <w:t xml:space="preserve">Advisors currently face challenges in showing clients the future income payments from their existing annuities. The data needed for accurate income projections—such as value, frequency, and start/stop dates—is often unavailable or inconsistent across different companies and products. This makes it impossible for advisors to effectively include annuity income in comprehensive portfolio reports. The inability to report this key data alongside other income sources limits advisors’ ability to present a full, accurate picture of a client's financial life. </w:t>
      </w:r>
    </w:p>
    <w:p w14:paraId="7DA6B26B" w14:textId="7AC84245" w:rsidR="18EECC10" w:rsidRPr="00A42439" w:rsidRDefault="18EECC10" w:rsidP="00A42439">
      <w:pPr>
        <w:pStyle w:val="Heading3"/>
        <w:spacing w:before="281" w:after="0"/>
        <w:rPr>
          <w:sz w:val="24"/>
          <w:szCs w:val="24"/>
        </w:rPr>
      </w:pPr>
      <w:r w:rsidRPr="00A42439">
        <w:rPr>
          <w:rFonts w:ascii="Aptos" w:eastAsia="Aptos" w:hAnsi="Aptos" w:cs="Aptos"/>
          <w:b/>
          <w:bCs/>
          <w:sz w:val="24"/>
          <w:szCs w:val="24"/>
        </w:rPr>
        <w:t>Checklist for Success:</w:t>
      </w:r>
    </w:p>
    <w:p w14:paraId="3647B79F" w14:textId="2AFA8C3F" w:rsidR="18EECC10" w:rsidRPr="00A42439" w:rsidRDefault="18EECC10" w:rsidP="7EF977E3">
      <w:pPr>
        <w:pStyle w:val="ListParagraph"/>
        <w:numPr>
          <w:ilvl w:val="0"/>
          <w:numId w:val="1"/>
        </w:numPr>
        <w:spacing w:after="0"/>
        <w:rPr>
          <w:rFonts w:ascii="Aptos" w:eastAsia="Aptos" w:hAnsi="Aptos" w:cs="Aptos"/>
        </w:rPr>
      </w:pPr>
      <w:r w:rsidRPr="00A42439">
        <w:rPr>
          <w:rFonts w:ascii="Aptos" w:eastAsia="Aptos" w:hAnsi="Aptos" w:cs="Aptos"/>
          <w:b/>
          <w:bCs/>
        </w:rPr>
        <w:t>Standardize income reporting</w:t>
      </w:r>
      <w:r w:rsidRPr="00A42439">
        <w:rPr>
          <w:rFonts w:ascii="Aptos" w:eastAsia="Aptos" w:hAnsi="Aptos" w:cs="Aptos"/>
        </w:rPr>
        <w:t>: Create a uniform standard for reporting the value, frequency, and start/stop dates of annuity payments.</w:t>
      </w:r>
    </w:p>
    <w:p w14:paraId="6C8C14F2" w14:textId="4589DD7A" w:rsidR="18EECC10" w:rsidRPr="00A42439" w:rsidRDefault="18EECC10" w:rsidP="7EF977E3">
      <w:pPr>
        <w:pStyle w:val="ListParagraph"/>
        <w:numPr>
          <w:ilvl w:val="0"/>
          <w:numId w:val="1"/>
        </w:numPr>
        <w:spacing w:after="0"/>
        <w:rPr>
          <w:rFonts w:ascii="Aptos" w:eastAsia="Aptos" w:hAnsi="Aptos" w:cs="Aptos"/>
        </w:rPr>
      </w:pPr>
      <w:r w:rsidRPr="00A42439">
        <w:rPr>
          <w:rFonts w:ascii="Aptos" w:eastAsia="Aptos" w:hAnsi="Aptos" w:cs="Aptos"/>
          <w:b/>
          <w:bCs/>
        </w:rPr>
        <w:t>Integrat</w:t>
      </w:r>
      <w:r w:rsidR="00CE381A">
        <w:rPr>
          <w:rFonts w:ascii="Aptos" w:eastAsia="Aptos" w:hAnsi="Aptos" w:cs="Aptos"/>
          <w:b/>
          <w:bCs/>
        </w:rPr>
        <w:t>ion</w:t>
      </w:r>
      <w:r w:rsidRPr="00A42439">
        <w:rPr>
          <w:rFonts w:ascii="Aptos" w:eastAsia="Aptos" w:hAnsi="Aptos" w:cs="Aptos"/>
        </w:rPr>
        <w:t>: Ensure that the standardized annuity data is usable for generating consistent reports alongside other investments.</w:t>
      </w:r>
    </w:p>
    <w:p w14:paraId="3E2E75CD" w14:textId="1D73AEA5" w:rsidR="18EECC10" w:rsidRPr="00A42439" w:rsidRDefault="18EECC10" w:rsidP="7EF977E3">
      <w:pPr>
        <w:pStyle w:val="ListParagraph"/>
        <w:numPr>
          <w:ilvl w:val="0"/>
          <w:numId w:val="1"/>
        </w:numPr>
        <w:spacing w:after="0"/>
        <w:rPr>
          <w:rFonts w:ascii="Aptos" w:eastAsia="Aptos" w:hAnsi="Aptos" w:cs="Aptos"/>
        </w:rPr>
      </w:pPr>
      <w:r w:rsidRPr="00A42439">
        <w:rPr>
          <w:rFonts w:ascii="Aptos" w:eastAsia="Aptos" w:hAnsi="Aptos" w:cs="Aptos"/>
          <w:b/>
          <w:bCs/>
        </w:rPr>
        <w:t>Provide holistic financial views</w:t>
      </w:r>
      <w:r w:rsidRPr="00A42439">
        <w:rPr>
          <w:rFonts w:ascii="Aptos" w:eastAsia="Aptos" w:hAnsi="Aptos" w:cs="Aptos"/>
        </w:rPr>
        <w:t>: Enable advisors to show annuity income alongside traditional investments and other income sources.</w:t>
      </w:r>
    </w:p>
    <w:p w14:paraId="4CF8D169" w14:textId="392FB911" w:rsidR="18EECC10" w:rsidRPr="00A42439" w:rsidRDefault="18EECC10" w:rsidP="7EF977E3">
      <w:pPr>
        <w:pStyle w:val="ListParagraph"/>
        <w:numPr>
          <w:ilvl w:val="0"/>
          <w:numId w:val="1"/>
        </w:numPr>
        <w:spacing w:after="0"/>
        <w:rPr>
          <w:rFonts w:ascii="Aptos" w:eastAsia="Aptos" w:hAnsi="Aptos" w:cs="Aptos"/>
        </w:rPr>
      </w:pPr>
      <w:r w:rsidRPr="00A42439">
        <w:rPr>
          <w:rFonts w:ascii="Aptos" w:eastAsia="Aptos" w:hAnsi="Aptos" w:cs="Aptos"/>
          <w:b/>
          <w:bCs/>
        </w:rPr>
        <w:t>Ensure consistency across providers</w:t>
      </w:r>
      <w:r w:rsidRPr="00A42439">
        <w:rPr>
          <w:rFonts w:ascii="Aptos" w:eastAsia="Aptos" w:hAnsi="Aptos" w:cs="Aptos"/>
        </w:rPr>
        <w:t>: Apply the standardized reporting across various annuity products and companies to minimize data discrepancies.</w:t>
      </w:r>
    </w:p>
    <w:p w14:paraId="3C0952C4" w14:textId="05C7A674" w:rsidR="7EF977E3" w:rsidRPr="0085791D" w:rsidRDefault="18EECC10" w:rsidP="7EF977E3">
      <w:pPr>
        <w:pStyle w:val="ListParagraph"/>
        <w:numPr>
          <w:ilvl w:val="0"/>
          <w:numId w:val="1"/>
        </w:numPr>
        <w:spacing w:after="0"/>
        <w:rPr>
          <w:rFonts w:ascii="Aptos" w:eastAsia="Aptos" w:hAnsi="Aptos" w:cs="Aptos"/>
          <w:sz w:val="22"/>
          <w:szCs w:val="22"/>
        </w:rPr>
      </w:pPr>
      <w:r w:rsidRPr="0085791D">
        <w:rPr>
          <w:rFonts w:ascii="Aptos" w:eastAsia="Aptos" w:hAnsi="Aptos" w:cs="Aptos"/>
          <w:b/>
          <w:bCs/>
        </w:rPr>
        <w:t>Increase advisor confidence</w:t>
      </w:r>
      <w:r w:rsidRPr="0085791D">
        <w:rPr>
          <w:rFonts w:ascii="Aptos" w:eastAsia="Aptos" w:hAnsi="Aptos" w:cs="Aptos"/>
        </w:rPr>
        <w:t>: Help advisors demonstrate the value of annuities in client portfolios, facilitating product recommendations.</w:t>
      </w:r>
    </w:p>
    <w:p w14:paraId="7C35F9E2" w14:textId="33A6AC55" w:rsidR="00094F16" w:rsidRDefault="00094F16">
      <w:r>
        <w:br w:type="page"/>
      </w:r>
    </w:p>
    <w:p w14:paraId="2D590C8D" w14:textId="77777777" w:rsidR="00094F16" w:rsidRDefault="00094F16" w:rsidP="00094F1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lastRenderedPageBreak/>
        <w:t xml:space="preserve">Legal Disclosures: </w:t>
      </w:r>
      <w:r>
        <w:rPr>
          <w:rStyle w:val="eop"/>
          <w:rFonts w:ascii="Aptos" w:eastAsiaTheme="majorEastAsia" w:hAnsi="Aptos" w:cs="Segoe UI"/>
          <w:sz w:val="18"/>
          <w:szCs w:val="18"/>
        </w:rPr>
        <w:t> </w:t>
      </w:r>
    </w:p>
    <w:p w14:paraId="4C433635" w14:textId="77777777" w:rsidR="00094F16" w:rsidRDefault="00094F16" w:rsidP="00094F16">
      <w:pPr>
        <w:pStyle w:val="paragraph"/>
        <w:numPr>
          <w:ilvl w:val="0"/>
          <w:numId w:val="3"/>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 xml:space="preserve">Work during the event will be done through an Amazon Web Services (AWS) sandbox, and as such, all participants will be required to click-through and agree to the attached AWS Terms and Conditions </w:t>
      </w:r>
      <w:proofErr w:type="gramStart"/>
      <w:r>
        <w:rPr>
          <w:rStyle w:val="normaltextrun"/>
          <w:rFonts w:ascii="Aptos" w:eastAsiaTheme="majorEastAsia" w:hAnsi="Aptos" w:cs="Segoe UI"/>
          <w:i/>
          <w:iCs/>
          <w:sz w:val="18"/>
          <w:szCs w:val="18"/>
        </w:rPr>
        <w:t>in order to</w:t>
      </w:r>
      <w:proofErr w:type="gramEnd"/>
      <w:r>
        <w:rPr>
          <w:rStyle w:val="normaltextrun"/>
          <w:rFonts w:ascii="Aptos" w:eastAsiaTheme="majorEastAsia" w:hAnsi="Aptos" w:cs="Segoe UI"/>
          <w:i/>
          <w:iCs/>
          <w:sz w:val="18"/>
          <w:szCs w:val="18"/>
        </w:rPr>
        <w:t xml:space="preserve"> work in the sandbox. IRI strongly recommends that all participants adhere to your organization’s internal policies and procedures with respect to legal and/or compliance review and approval of the Terms and Conditions prior to the event. </w:t>
      </w:r>
      <w:r>
        <w:rPr>
          <w:rStyle w:val="eop"/>
          <w:rFonts w:ascii="Aptos" w:eastAsiaTheme="majorEastAsia" w:hAnsi="Aptos" w:cs="Segoe UI"/>
          <w:sz w:val="18"/>
          <w:szCs w:val="18"/>
        </w:rPr>
        <w:t> </w:t>
      </w:r>
    </w:p>
    <w:p w14:paraId="49835B32" w14:textId="77777777" w:rsidR="00094F16" w:rsidRDefault="00094F16" w:rsidP="00094F1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t> </w:t>
      </w:r>
      <w:r>
        <w:rPr>
          <w:rStyle w:val="eop"/>
          <w:rFonts w:ascii="Aptos" w:eastAsiaTheme="majorEastAsia" w:hAnsi="Aptos" w:cs="Segoe UI"/>
          <w:sz w:val="18"/>
          <w:szCs w:val="18"/>
        </w:rPr>
        <w:t> </w:t>
      </w:r>
    </w:p>
    <w:p w14:paraId="4F4E5758" w14:textId="77777777" w:rsidR="00094F16" w:rsidRDefault="00094F16" w:rsidP="00094F16">
      <w:pPr>
        <w:pStyle w:val="paragraph"/>
        <w:numPr>
          <w:ilvl w:val="0"/>
          <w:numId w:val="4"/>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 xml:space="preserve">Participants should not use or include any personally identifiable information or proprietary code in any coding or other work during the event. All coding developed in the sandbox will be discarded at the conclusion of the event. </w:t>
      </w:r>
      <w:r>
        <w:rPr>
          <w:rStyle w:val="eop"/>
          <w:rFonts w:ascii="Aptos" w:eastAsiaTheme="majorEastAsia" w:hAnsi="Aptos" w:cs="Segoe UI"/>
          <w:sz w:val="18"/>
          <w:szCs w:val="18"/>
        </w:rPr>
        <w:t> </w:t>
      </w:r>
    </w:p>
    <w:p w14:paraId="0B799E11" w14:textId="77777777" w:rsidR="00094F16" w:rsidRDefault="00094F16" w:rsidP="00094F1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t> </w:t>
      </w:r>
      <w:r>
        <w:rPr>
          <w:rStyle w:val="eop"/>
          <w:rFonts w:ascii="Aptos" w:eastAsiaTheme="majorEastAsia" w:hAnsi="Aptos" w:cs="Segoe UI"/>
          <w:sz w:val="18"/>
          <w:szCs w:val="18"/>
        </w:rPr>
        <w:t> </w:t>
      </w:r>
    </w:p>
    <w:p w14:paraId="53B1B682" w14:textId="77777777" w:rsidR="00094F16" w:rsidRDefault="00094F16" w:rsidP="00094F16">
      <w:pPr>
        <w:pStyle w:val="paragraph"/>
        <w:numPr>
          <w:ilvl w:val="0"/>
          <w:numId w:val="5"/>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The event is subject to the </w:t>
      </w:r>
      <w:hyperlink r:id="rId10" w:tgtFrame="_blank" w:history="1">
        <w:r>
          <w:rPr>
            <w:rStyle w:val="normaltextrun"/>
            <w:rFonts w:ascii="Aptos" w:eastAsiaTheme="majorEastAsia" w:hAnsi="Aptos" w:cs="Segoe UI"/>
            <w:i/>
            <w:iCs/>
            <w:color w:val="467886"/>
            <w:sz w:val="18"/>
            <w:szCs w:val="18"/>
            <w:u w:val="single"/>
          </w:rPr>
          <w:t>IRI Conference Policies</w:t>
        </w:r>
      </w:hyperlink>
      <w:r>
        <w:rPr>
          <w:rStyle w:val="normaltextrun"/>
          <w:rFonts w:ascii="Aptos" w:eastAsiaTheme="majorEastAsia" w:hAnsi="Aptos" w:cs="Segoe UI"/>
          <w:i/>
          <w:iCs/>
          <w:sz w:val="18"/>
          <w:szCs w:val="18"/>
        </w:rPr>
        <w:t xml:space="preserve">, which sets forth IRI’s policies with respect to health and safety, anti-trust, code of conduct, and photographs and video recordings. By attending the event, you acknowledge, accept, and agree to </w:t>
      </w:r>
      <w:proofErr w:type="gramStart"/>
      <w:r>
        <w:rPr>
          <w:rStyle w:val="normaltextrun"/>
          <w:rFonts w:ascii="Aptos" w:eastAsiaTheme="majorEastAsia" w:hAnsi="Aptos" w:cs="Segoe UI"/>
          <w:i/>
          <w:iCs/>
          <w:sz w:val="18"/>
          <w:szCs w:val="18"/>
        </w:rPr>
        <w:t>abide by the IRI Conference Policies at all times</w:t>
      </w:r>
      <w:proofErr w:type="gramEnd"/>
      <w:r>
        <w:rPr>
          <w:rStyle w:val="normaltextrun"/>
          <w:rFonts w:ascii="Aptos" w:eastAsiaTheme="majorEastAsia" w:hAnsi="Aptos" w:cs="Segoe UI"/>
          <w:i/>
          <w:iCs/>
          <w:sz w:val="18"/>
          <w:szCs w:val="18"/>
        </w:rPr>
        <w:t xml:space="preserve"> during the event.</w:t>
      </w:r>
      <w:r>
        <w:rPr>
          <w:rStyle w:val="eop"/>
          <w:rFonts w:ascii="Aptos" w:eastAsiaTheme="majorEastAsia" w:hAnsi="Aptos" w:cs="Segoe UI"/>
          <w:sz w:val="18"/>
          <w:szCs w:val="18"/>
        </w:rPr>
        <w:t> </w:t>
      </w:r>
    </w:p>
    <w:p w14:paraId="1C2E0A97" w14:textId="77777777" w:rsidR="14DAB921" w:rsidRDefault="14DAB921"/>
    <w:sectPr w:rsidR="14DAB92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AC0F6" w14:textId="77777777" w:rsidR="002B3343" w:rsidRDefault="002B3343">
      <w:pPr>
        <w:spacing w:after="0" w:line="240" w:lineRule="auto"/>
      </w:pPr>
      <w:r>
        <w:separator/>
      </w:r>
    </w:p>
  </w:endnote>
  <w:endnote w:type="continuationSeparator" w:id="0">
    <w:p w14:paraId="07E6030C" w14:textId="77777777" w:rsidR="002B3343" w:rsidRDefault="002B3343">
      <w:pPr>
        <w:spacing w:after="0" w:line="240" w:lineRule="auto"/>
      </w:pPr>
      <w:r>
        <w:continuationSeparator/>
      </w:r>
    </w:p>
  </w:endnote>
  <w:endnote w:type="continuationNotice" w:id="1">
    <w:p w14:paraId="560F0D71" w14:textId="77777777" w:rsidR="002B3343" w:rsidRDefault="002B33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DAB921" w14:paraId="2D8E4A9F" w14:textId="77777777" w:rsidTr="14DAB921">
      <w:trPr>
        <w:trHeight w:val="300"/>
      </w:trPr>
      <w:tc>
        <w:tcPr>
          <w:tcW w:w="3120" w:type="dxa"/>
        </w:tcPr>
        <w:p w14:paraId="03D5B343" w14:textId="4D0459C7" w:rsidR="14DAB921" w:rsidRDefault="14DAB921" w:rsidP="14DAB921">
          <w:pPr>
            <w:pStyle w:val="Header"/>
            <w:ind w:left="-115"/>
          </w:pPr>
        </w:p>
      </w:tc>
      <w:tc>
        <w:tcPr>
          <w:tcW w:w="3120" w:type="dxa"/>
        </w:tcPr>
        <w:p w14:paraId="759D9B43" w14:textId="0134C370" w:rsidR="14DAB921" w:rsidRDefault="14DAB921" w:rsidP="14DAB921">
          <w:pPr>
            <w:pStyle w:val="Header"/>
            <w:jc w:val="center"/>
          </w:pPr>
        </w:p>
      </w:tc>
      <w:tc>
        <w:tcPr>
          <w:tcW w:w="3120" w:type="dxa"/>
        </w:tcPr>
        <w:p w14:paraId="1A7918E7" w14:textId="40CF5865" w:rsidR="14DAB921" w:rsidRDefault="14DAB921" w:rsidP="14DAB921">
          <w:pPr>
            <w:pStyle w:val="Header"/>
            <w:ind w:right="-115"/>
            <w:jc w:val="right"/>
          </w:pPr>
        </w:p>
      </w:tc>
    </w:tr>
  </w:tbl>
  <w:p w14:paraId="3F960B03" w14:textId="107197A2" w:rsidR="14DAB921" w:rsidRDefault="14DAB921" w:rsidP="14DAB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E3E2D" w14:textId="77777777" w:rsidR="002B3343" w:rsidRDefault="002B3343">
      <w:pPr>
        <w:spacing w:after="0" w:line="240" w:lineRule="auto"/>
      </w:pPr>
      <w:r>
        <w:separator/>
      </w:r>
    </w:p>
  </w:footnote>
  <w:footnote w:type="continuationSeparator" w:id="0">
    <w:p w14:paraId="414868A6" w14:textId="77777777" w:rsidR="002B3343" w:rsidRDefault="002B3343">
      <w:pPr>
        <w:spacing w:after="0" w:line="240" w:lineRule="auto"/>
      </w:pPr>
      <w:r>
        <w:continuationSeparator/>
      </w:r>
    </w:p>
  </w:footnote>
  <w:footnote w:type="continuationNotice" w:id="1">
    <w:p w14:paraId="6029F56E" w14:textId="77777777" w:rsidR="002B3343" w:rsidRDefault="002B33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DAB921" w14:paraId="34F8B8C1" w14:textId="77777777" w:rsidTr="14DAB921">
      <w:trPr>
        <w:trHeight w:val="300"/>
      </w:trPr>
      <w:tc>
        <w:tcPr>
          <w:tcW w:w="3120" w:type="dxa"/>
        </w:tcPr>
        <w:p w14:paraId="2E31743C" w14:textId="028BB531" w:rsidR="14DAB921" w:rsidRDefault="14DAB921" w:rsidP="14DAB921">
          <w:pPr>
            <w:pStyle w:val="Header"/>
            <w:ind w:left="-115"/>
          </w:pPr>
        </w:p>
      </w:tc>
      <w:tc>
        <w:tcPr>
          <w:tcW w:w="3120" w:type="dxa"/>
        </w:tcPr>
        <w:p w14:paraId="3F890343" w14:textId="25455A0D" w:rsidR="14DAB921" w:rsidRDefault="14DAB921" w:rsidP="14DAB921">
          <w:pPr>
            <w:pStyle w:val="Header"/>
            <w:jc w:val="center"/>
          </w:pPr>
        </w:p>
      </w:tc>
      <w:tc>
        <w:tcPr>
          <w:tcW w:w="3120" w:type="dxa"/>
        </w:tcPr>
        <w:p w14:paraId="2D07D8C9" w14:textId="78064536" w:rsidR="14DAB921" w:rsidRDefault="004E77F6" w:rsidP="14DAB921">
          <w:pPr>
            <w:pStyle w:val="Header"/>
            <w:ind w:right="-115"/>
            <w:jc w:val="right"/>
          </w:pPr>
          <w:r>
            <w:rPr>
              <w:noProof/>
              <w14:ligatures w14:val="standardContextual"/>
            </w:rPr>
            <w:drawing>
              <wp:inline distT="0" distB="0" distL="0" distR="0" wp14:anchorId="239A1138" wp14:editId="689368A2">
                <wp:extent cx="1338072" cy="468141"/>
                <wp:effectExtent l="0" t="0" r="0" b="8255"/>
                <wp:docPr id="18126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089"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45677" cy="470802"/>
                        </a:xfrm>
                        <a:prstGeom prst="rect">
                          <a:avLst/>
                        </a:prstGeom>
                      </pic:spPr>
                    </pic:pic>
                  </a:graphicData>
                </a:graphic>
              </wp:inline>
            </w:drawing>
          </w:r>
        </w:p>
      </w:tc>
    </w:tr>
  </w:tbl>
  <w:p w14:paraId="70EC27AC" w14:textId="6DD4EE79" w:rsidR="14DAB921" w:rsidRDefault="14DAB921" w:rsidP="14DAB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22EAA"/>
    <w:multiLevelType w:val="hybridMultilevel"/>
    <w:tmpl w:val="00AAC85E"/>
    <w:lvl w:ilvl="0" w:tplc="4192FB30">
      <w:start w:val="1"/>
      <w:numFmt w:val="bullet"/>
      <w:lvlText w:val=""/>
      <w:lvlJc w:val="left"/>
      <w:pPr>
        <w:ind w:left="720" w:hanging="360"/>
      </w:pPr>
      <w:rPr>
        <w:rFonts w:ascii="Symbol" w:hAnsi="Symbol" w:hint="default"/>
      </w:rPr>
    </w:lvl>
    <w:lvl w:ilvl="1" w:tplc="E4CCE152">
      <w:start w:val="1"/>
      <w:numFmt w:val="bullet"/>
      <w:lvlText w:val="o"/>
      <w:lvlJc w:val="left"/>
      <w:pPr>
        <w:ind w:left="1440" w:hanging="360"/>
      </w:pPr>
      <w:rPr>
        <w:rFonts w:ascii="Courier New" w:hAnsi="Courier New" w:hint="default"/>
      </w:rPr>
    </w:lvl>
    <w:lvl w:ilvl="2" w:tplc="BA8C4026">
      <w:start w:val="1"/>
      <w:numFmt w:val="bullet"/>
      <w:lvlText w:val=""/>
      <w:lvlJc w:val="left"/>
      <w:pPr>
        <w:ind w:left="2160" w:hanging="360"/>
      </w:pPr>
      <w:rPr>
        <w:rFonts w:ascii="Wingdings" w:hAnsi="Wingdings" w:hint="default"/>
      </w:rPr>
    </w:lvl>
    <w:lvl w:ilvl="3" w:tplc="45B22150">
      <w:start w:val="1"/>
      <w:numFmt w:val="bullet"/>
      <w:lvlText w:val=""/>
      <w:lvlJc w:val="left"/>
      <w:pPr>
        <w:ind w:left="2880" w:hanging="360"/>
      </w:pPr>
      <w:rPr>
        <w:rFonts w:ascii="Symbol" w:hAnsi="Symbol" w:hint="default"/>
      </w:rPr>
    </w:lvl>
    <w:lvl w:ilvl="4" w:tplc="7C58C62E">
      <w:start w:val="1"/>
      <w:numFmt w:val="bullet"/>
      <w:lvlText w:val="o"/>
      <w:lvlJc w:val="left"/>
      <w:pPr>
        <w:ind w:left="3600" w:hanging="360"/>
      </w:pPr>
      <w:rPr>
        <w:rFonts w:ascii="Courier New" w:hAnsi="Courier New" w:hint="default"/>
      </w:rPr>
    </w:lvl>
    <w:lvl w:ilvl="5" w:tplc="4F0A8C98">
      <w:start w:val="1"/>
      <w:numFmt w:val="bullet"/>
      <w:lvlText w:val=""/>
      <w:lvlJc w:val="left"/>
      <w:pPr>
        <w:ind w:left="4320" w:hanging="360"/>
      </w:pPr>
      <w:rPr>
        <w:rFonts w:ascii="Wingdings" w:hAnsi="Wingdings" w:hint="default"/>
      </w:rPr>
    </w:lvl>
    <w:lvl w:ilvl="6" w:tplc="22E89894">
      <w:start w:val="1"/>
      <w:numFmt w:val="bullet"/>
      <w:lvlText w:val=""/>
      <w:lvlJc w:val="left"/>
      <w:pPr>
        <w:ind w:left="5040" w:hanging="360"/>
      </w:pPr>
      <w:rPr>
        <w:rFonts w:ascii="Symbol" w:hAnsi="Symbol" w:hint="default"/>
      </w:rPr>
    </w:lvl>
    <w:lvl w:ilvl="7" w:tplc="D988BA2E">
      <w:start w:val="1"/>
      <w:numFmt w:val="bullet"/>
      <w:lvlText w:val="o"/>
      <w:lvlJc w:val="left"/>
      <w:pPr>
        <w:ind w:left="5760" w:hanging="360"/>
      </w:pPr>
      <w:rPr>
        <w:rFonts w:ascii="Courier New" w:hAnsi="Courier New" w:hint="default"/>
      </w:rPr>
    </w:lvl>
    <w:lvl w:ilvl="8" w:tplc="099AB00E">
      <w:start w:val="1"/>
      <w:numFmt w:val="bullet"/>
      <w:lvlText w:val=""/>
      <w:lvlJc w:val="left"/>
      <w:pPr>
        <w:ind w:left="6480" w:hanging="360"/>
      </w:pPr>
      <w:rPr>
        <w:rFonts w:ascii="Wingdings" w:hAnsi="Wingdings" w:hint="default"/>
      </w:rPr>
    </w:lvl>
  </w:abstractNum>
  <w:abstractNum w:abstractNumId="1" w15:restartNumberingAfterBreak="0">
    <w:nsid w:val="0E5CE06E"/>
    <w:multiLevelType w:val="hybridMultilevel"/>
    <w:tmpl w:val="574A3D5A"/>
    <w:lvl w:ilvl="0" w:tplc="303E3E4A">
      <w:start w:val="1"/>
      <w:numFmt w:val="decimal"/>
      <w:lvlText w:val="%1."/>
      <w:lvlJc w:val="left"/>
      <w:pPr>
        <w:ind w:left="720" w:hanging="360"/>
      </w:pPr>
    </w:lvl>
    <w:lvl w:ilvl="1" w:tplc="F6107CA8">
      <w:start w:val="1"/>
      <w:numFmt w:val="lowerLetter"/>
      <w:lvlText w:val="%2."/>
      <w:lvlJc w:val="left"/>
      <w:pPr>
        <w:ind w:left="1440" w:hanging="360"/>
      </w:pPr>
    </w:lvl>
    <w:lvl w:ilvl="2" w:tplc="9B742742">
      <w:start w:val="1"/>
      <w:numFmt w:val="lowerRoman"/>
      <w:lvlText w:val="%3."/>
      <w:lvlJc w:val="right"/>
      <w:pPr>
        <w:ind w:left="2160" w:hanging="180"/>
      </w:pPr>
    </w:lvl>
    <w:lvl w:ilvl="3" w:tplc="8662F0C2">
      <w:start w:val="1"/>
      <w:numFmt w:val="decimal"/>
      <w:lvlText w:val="%4."/>
      <w:lvlJc w:val="left"/>
      <w:pPr>
        <w:ind w:left="2880" w:hanging="360"/>
      </w:pPr>
    </w:lvl>
    <w:lvl w:ilvl="4" w:tplc="0C3A7024">
      <w:start w:val="1"/>
      <w:numFmt w:val="lowerLetter"/>
      <w:lvlText w:val="%5."/>
      <w:lvlJc w:val="left"/>
      <w:pPr>
        <w:ind w:left="3600" w:hanging="360"/>
      </w:pPr>
    </w:lvl>
    <w:lvl w:ilvl="5" w:tplc="85F201A0">
      <w:start w:val="1"/>
      <w:numFmt w:val="lowerRoman"/>
      <w:lvlText w:val="%6."/>
      <w:lvlJc w:val="right"/>
      <w:pPr>
        <w:ind w:left="4320" w:hanging="180"/>
      </w:pPr>
    </w:lvl>
    <w:lvl w:ilvl="6" w:tplc="A5F8B8AC">
      <w:start w:val="1"/>
      <w:numFmt w:val="decimal"/>
      <w:lvlText w:val="%7."/>
      <w:lvlJc w:val="left"/>
      <w:pPr>
        <w:ind w:left="5040" w:hanging="360"/>
      </w:pPr>
    </w:lvl>
    <w:lvl w:ilvl="7" w:tplc="55B0AC62">
      <w:start w:val="1"/>
      <w:numFmt w:val="lowerLetter"/>
      <w:lvlText w:val="%8."/>
      <w:lvlJc w:val="left"/>
      <w:pPr>
        <w:ind w:left="5760" w:hanging="360"/>
      </w:pPr>
    </w:lvl>
    <w:lvl w:ilvl="8" w:tplc="DBB0A370">
      <w:start w:val="1"/>
      <w:numFmt w:val="lowerRoman"/>
      <w:lvlText w:val="%9."/>
      <w:lvlJc w:val="right"/>
      <w:pPr>
        <w:ind w:left="6480" w:hanging="180"/>
      </w:pPr>
    </w:lvl>
  </w:abstractNum>
  <w:abstractNum w:abstractNumId="2" w15:restartNumberingAfterBreak="0">
    <w:nsid w:val="2D060BA5"/>
    <w:multiLevelType w:val="multilevel"/>
    <w:tmpl w:val="B1D61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63268"/>
    <w:multiLevelType w:val="multilevel"/>
    <w:tmpl w:val="EACC4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E56E2"/>
    <w:multiLevelType w:val="multilevel"/>
    <w:tmpl w:val="D27C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67656">
    <w:abstractNumId w:val="0"/>
  </w:num>
  <w:num w:numId="2" w16cid:durableId="1491605452">
    <w:abstractNumId w:val="1"/>
  </w:num>
  <w:num w:numId="3" w16cid:durableId="703288550">
    <w:abstractNumId w:val="4"/>
  </w:num>
  <w:num w:numId="4" w16cid:durableId="1160584831">
    <w:abstractNumId w:val="3"/>
  </w:num>
  <w:num w:numId="5" w16cid:durableId="802575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3E7C81"/>
    <w:rsid w:val="0000325B"/>
    <w:rsid w:val="000038B5"/>
    <w:rsid w:val="00006606"/>
    <w:rsid w:val="0005476E"/>
    <w:rsid w:val="00063D51"/>
    <w:rsid w:val="00076836"/>
    <w:rsid w:val="0008659C"/>
    <w:rsid w:val="000908F8"/>
    <w:rsid w:val="00094F16"/>
    <w:rsid w:val="000A5B9A"/>
    <w:rsid w:val="000C0065"/>
    <w:rsid w:val="000D6E23"/>
    <w:rsid w:val="000F55BC"/>
    <w:rsid w:val="000F6F70"/>
    <w:rsid w:val="00143353"/>
    <w:rsid w:val="00167B49"/>
    <w:rsid w:val="0017361D"/>
    <w:rsid w:val="00187B9E"/>
    <w:rsid w:val="001E05D8"/>
    <w:rsid w:val="001E296C"/>
    <w:rsid w:val="001F7489"/>
    <w:rsid w:val="00204C4F"/>
    <w:rsid w:val="0021004F"/>
    <w:rsid w:val="0021183C"/>
    <w:rsid w:val="00274A9E"/>
    <w:rsid w:val="00291E0F"/>
    <w:rsid w:val="002A76CC"/>
    <w:rsid w:val="002B3343"/>
    <w:rsid w:val="002B7790"/>
    <w:rsid w:val="002B79E9"/>
    <w:rsid w:val="002C2279"/>
    <w:rsid w:val="002C2B53"/>
    <w:rsid w:val="002D442E"/>
    <w:rsid w:val="002E36BC"/>
    <w:rsid w:val="002E465F"/>
    <w:rsid w:val="002E6ABC"/>
    <w:rsid w:val="002E7086"/>
    <w:rsid w:val="00304A1D"/>
    <w:rsid w:val="003077A4"/>
    <w:rsid w:val="00307C56"/>
    <w:rsid w:val="003222E4"/>
    <w:rsid w:val="00330F71"/>
    <w:rsid w:val="003453E8"/>
    <w:rsid w:val="00361BCC"/>
    <w:rsid w:val="0037297C"/>
    <w:rsid w:val="00387381"/>
    <w:rsid w:val="00390094"/>
    <w:rsid w:val="003B57B7"/>
    <w:rsid w:val="003B5D37"/>
    <w:rsid w:val="003C6217"/>
    <w:rsid w:val="003C6A82"/>
    <w:rsid w:val="003C71A1"/>
    <w:rsid w:val="003F7B40"/>
    <w:rsid w:val="00405455"/>
    <w:rsid w:val="00413A46"/>
    <w:rsid w:val="0041548D"/>
    <w:rsid w:val="00423FE9"/>
    <w:rsid w:val="00435848"/>
    <w:rsid w:val="004363D0"/>
    <w:rsid w:val="0047568B"/>
    <w:rsid w:val="0048105D"/>
    <w:rsid w:val="0048124F"/>
    <w:rsid w:val="004A7D08"/>
    <w:rsid w:val="004B3447"/>
    <w:rsid w:val="004B536C"/>
    <w:rsid w:val="004C1E17"/>
    <w:rsid w:val="004E0A3F"/>
    <w:rsid w:val="004E0D65"/>
    <w:rsid w:val="004E77F6"/>
    <w:rsid w:val="005017E6"/>
    <w:rsid w:val="00507755"/>
    <w:rsid w:val="00514C1A"/>
    <w:rsid w:val="00536EB7"/>
    <w:rsid w:val="00566E2C"/>
    <w:rsid w:val="00576662"/>
    <w:rsid w:val="00594F5F"/>
    <w:rsid w:val="005C4054"/>
    <w:rsid w:val="005E31EC"/>
    <w:rsid w:val="00633972"/>
    <w:rsid w:val="006427F1"/>
    <w:rsid w:val="0064683A"/>
    <w:rsid w:val="00654E18"/>
    <w:rsid w:val="0067167D"/>
    <w:rsid w:val="0068552A"/>
    <w:rsid w:val="006A45A9"/>
    <w:rsid w:val="006B7609"/>
    <w:rsid w:val="006C3E9A"/>
    <w:rsid w:val="006C467C"/>
    <w:rsid w:val="006E04DE"/>
    <w:rsid w:val="006E2A0E"/>
    <w:rsid w:val="006E6CF8"/>
    <w:rsid w:val="00701F3F"/>
    <w:rsid w:val="00702BA1"/>
    <w:rsid w:val="00721F3B"/>
    <w:rsid w:val="00735D05"/>
    <w:rsid w:val="00757E8D"/>
    <w:rsid w:val="007671BE"/>
    <w:rsid w:val="00772158"/>
    <w:rsid w:val="007A74CA"/>
    <w:rsid w:val="007D4C0F"/>
    <w:rsid w:val="007D5ED0"/>
    <w:rsid w:val="00803394"/>
    <w:rsid w:val="00824109"/>
    <w:rsid w:val="00826718"/>
    <w:rsid w:val="00844632"/>
    <w:rsid w:val="0085791D"/>
    <w:rsid w:val="00877528"/>
    <w:rsid w:val="008A2CC3"/>
    <w:rsid w:val="008A4108"/>
    <w:rsid w:val="008C418D"/>
    <w:rsid w:val="008D01D0"/>
    <w:rsid w:val="008D12A0"/>
    <w:rsid w:val="008F4768"/>
    <w:rsid w:val="0091511D"/>
    <w:rsid w:val="00921386"/>
    <w:rsid w:val="00955779"/>
    <w:rsid w:val="00972FBD"/>
    <w:rsid w:val="009732D1"/>
    <w:rsid w:val="00992F31"/>
    <w:rsid w:val="00994A22"/>
    <w:rsid w:val="009A1EB5"/>
    <w:rsid w:val="009B1DBD"/>
    <w:rsid w:val="009D5073"/>
    <w:rsid w:val="009E35F1"/>
    <w:rsid w:val="009E393A"/>
    <w:rsid w:val="009E3EC6"/>
    <w:rsid w:val="009F66F7"/>
    <w:rsid w:val="00A1080E"/>
    <w:rsid w:val="00A16C35"/>
    <w:rsid w:val="00A32BDB"/>
    <w:rsid w:val="00A42439"/>
    <w:rsid w:val="00A61748"/>
    <w:rsid w:val="00AB115B"/>
    <w:rsid w:val="00AC2C17"/>
    <w:rsid w:val="00B07136"/>
    <w:rsid w:val="00B240C7"/>
    <w:rsid w:val="00B557A4"/>
    <w:rsid w:val="00B67EE4"/>
    <w:rsid w:val="00BA58BE"/>
    <w:rsid w:val="00BB64B8"/>
    <w:rsid w:val="00BB7692"/>
    <w:rsid w:val="00BC4FC2"/>
    <w:rsid w:val="00BC7B98"/>
    <w:rsid w:val="00BD11EC"/>
    <w:rsid w:val="00BD5F1A"/>
    <w:rsid w:val="00BE3FB6"/>
    <w:rsid w:val="00BF2B84"/>
    <w:rsid w:val="00C01CF8"/>
    <w:rsid w:val="00C37915"/>
    <w:rsid w:val="00C61D7A"/>
    <w:rsid w:val="00C62A3B"/>
    <w:rsid w:val="00C6509D"/>
    <w:rsid w:val="00C6791F"/>
    <w:rsid w:val="00C7751A"/>
    <w:rsid w:val="00C80D4C"/>
    <w:rsid w:val="00C8695F"/>
    <w:rsid w:val="00CA262A"/>
    <w:rsid w:val="00CA5653"/>
    <w:rsid w:val="00CB098E"/>
    <w:rsid w:val="00CB1FBC"/>
    <w:rsid w:val="00CE381A"/>
    <w:rsid w:val="00CE7A17"/>
    <w:rsid w:val="00CF0D25"/>
    <w:rsid w:val="00CF4620"/>
    <w:rsid w:val="00D14559"/>
    <w:rsid w:val="00D45F40"/>
    <w:rsid w:val="00D6460E"/>
    <w:rsid w:val="00D672E1"/>
    <w:rsid w:val="00D71105"/>
    <w:rsid w:val="00D86062"/>
    <w:rsid w:val="00DA7B1B"/>
    <w:rsid w:val="00DB3DA8"/>
    <w:rsid w:val="00DB7D7A"/>
    <w:rsid w:val="00DC3821"/>
    <w:rsid w:val="00DD687C"/>
    <w:rsid w:val="00DF2DD8"/>
    <w:rsid w:val="00E037A5"/>
    <w:rsid w:val="00E0764B"/>
    <w:rsid w:val="00E444A5"/>
    <w:rsid w:val="00E74494"/>
    <w:rsid w:val="00E86DDE"/>
    <w:rsid w:val="00E8733D"/>
    <w:rsid w:val="00EA1E50"/>
    <w:rsid w:val="00EA3E98"/>
    <w:rsid w:val="00EA6136"/>
    <w:rsid w:val="00EB7B00"/>
    <w:rsid w:val="00EE3715"/>
    <w:rsid w:val="00EE3AFC"/>
    <w:rsid w:val="00EF70B1"/>
    <w:rsid w:val="00F33B2F"/>
    <w:rsid w:val="00F378DB"/>
    <w:rsid w:val="00F37FC4"/>
    <w:rsid w:val="00F536AB"/>
    <w:rsid w:val="00F777C3"/>
    <w:rsid w:val="00F96545"/>
    <w:rsid w:val="00FA1592"/>
    <w:rsid w:val="00FB7395"/>
    <w:rsid w:val="00FB7D71"/>
    <w:rsid w:val="00FC2396"/>
    <w:rsid w:val="00FC3034"/>
    <w:rsid w:val="00FF3802"/>
    <w:rsid w:val="019B0467"/>
    <w:rsid w:val="02299E61"/>
    <w:rsid w:val="05604725"/>
    <w:rsid w:val="096D2067"/>
    <w:rsid w:val="0AB9BAA5"/>
    <w:rsid w:val="0B1D7196"/>
    <w:rsid w:val="0C8668F8"/>
    <w:rsid w:val="0DEC3B7A"/>
    <w:rsid w:val="0E09DAB1"/>
    <w:rsid w:val="0F8005ED"/>
    <w:rsid w:val="124E3282"/>
    <w:rsid w:val="129E4CCD"/>
    <w:rsid w:val="13C65274"/>
    <w:rsid w:val="14DAB921"/>
    <w:rsid w:val="15C554E2"/>
    <w:rsid w:val="16285EF7"/>
    <w:rsid w:val="18EECC10"/>
    <w:rsid w:val="1A873DB0"/>
    <w:rsid w:val="1B3E7C81"/>
    <w:rsid w:val="1B862B02"/>
    <w:rsid w:val="1EF7F618"/>
    <w:rsid w:val="210F21EF"/>
    <w:rsid w:val="236DF15B"/>
    <w:rsid w:val="238D5A3A"/>
    <w:rsid w:val="2518D2EA"/>
    <w:rsid w:val="26BEF5EC"/>
    <w:rsid w:val="2750F86E"/>
    <w:rsid w:val="276936F5"/>
    <w:rsid w:val="281A5269"/>
    <w:rsid w:val="29BF1077"/>
    <w:rsid w:val="2B4F0C72"/>
    <w:rsid w:val="2F686779"/>
    <w:rsid w:val="2F9FE9D1"/>
    <w:rsid w:val="339B5077"/>
    <w:rsid w:val="3472B072"/>
    <w:rsid w:val="34E10C67"/>
    <w:rsid w:val="368A234B"/>
    <w:rsid w:val="368FC87B"/>
    <w:rsid w:val="36ABB42A"/>
    <w:rsid w:val="37219F37"/>
    <w:rsid w:val="381CF703"/>
    <w:rsid w:val="39404C98"/>
    <w:rsid w:val="3D1AE52C"/>
    <w:rsid w:val="3D2E8D6D"/>
    <w:rsid w:val="3D6AA374"/>
    <w:rsid w:val="405D1237"/>
    <w:rsid w:val="4219AA25"/>
    <w:rsid w:val="44E97566"/>
    <w:rsid w:val="4A482961"/>
    <w:rsid w:val="4C5DEBC5"/>
    <w:rsid w:val="4C7AEB30"/>
    <w:rsid w:val="4D513ACD"/>
    <w:rsid w:val="50E2DF49"/>
    <w:rsid w:val="513AD718"/>
    <w:rsid w:val="52A5E608"/>
    <w:rsid w:val="540A5983"/>
    <w:rsid w:val="548DB16C"/>
    <w:rsid w:val="55F9BE42"/>
    <w:rsid w:val="567E33BD"/>
    <w:rsid w:val="5697E43C"/>
    <w:rsid w:val="5835A07A"/>
    <w:rsid w:val="5BAC6EF3"/>
    <w:rsid w:val="60E27E97"/>
    <w:rsid w:val="6B3BD529"/>
    <w:rsid w:val="6F42501B"/>
    <w:rsid w:val="6F54256A"/>
    <w:rsid w:val="70F5F3B1"/>
    <w:rsid w:val="733FA9BD"/>
    <w:rsid w:val="7360D67A"/>
    <w:rsid w:val="74FE9863"/>
    <w:rsid w:val="7585B641"/>
    <w:rsid w:val="7841A973"/>
    <w:rsid w:val="78E42FEC"/>
    <w:rsid w:val="79A96E75"/>
    <w:rsid w:val="7A873951"/>
    <w:rsid w:val="7AB46577"/>
    <w:rsid w:val="7CC0C5B7"/>
    <w:rsid w:val="7EF9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7C81"/>
  <w15:chartTrackingRefBased/>
  <w15:docId w15:val="{1968D111-23A7-43A3-B449-0620473E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545"/>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FB7D71"/>
    <w:pPr>
      <w:spacing w:line="240" w:lineRule="auto"/>
    </w:pPr>
    <w:rPr>
      <w:sz w:val="20"/>
      <w:szCs w:val="20"/>
    </w:rPr>
  </w:style>
  <w:style w:type="character" w:customStyle="1" w:styleId="CommentTextChar">
    <w:name w:val="Comment Text Char"/>
    <w:basedOn w:val="DefaultParagraphFont"/>
    <w:link w:val="CommentText"/>
    <w:uiPriority w:val="99"/>
    <w:semiHidden/>
    <w:rsid w:val="00FB7D71"/>
    <w:rPr>
      <w:sz w:val="20"/>
      <w:szCs w:val="20"/>
    </w:rPr>
  </w:style>
  <w:style w:type="character" w:styleId="CommentReference">
    <w:name w:val="annotation reference"/>
    <w:basedOn w:val="DefaultParagraphFont"/>
    <w:uiPriority w:val="99"/>
    <w:semiHidden/>
    <w:unhideWhenUsed/>
    <w:rsid w:val="00FB7D71"/>
    <w:rPr>
      <w:sz w:val="16"/>
      <w:szCs w:val="16"/>
    </w:rPr>
  </w:style>
  <w:style w:type="paragraph" w:customStyle="1" w:styleId="paragraph">
    <w:name w:val="paragraph"/>
    <w:basedOn w:val="Normal"/>
    <w:rsid w:val="00094F16"/>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094F16"/>
  </w:style>
  <w:style w:type="character" w:customStyle="1" w:styleId="eop">
    <w:name w:val="eop"/>
    <w:basedOn w:val="DefaultParagraphFont"/>
    <w:rsid w:val="00094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irionline.org/polic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947405BA74E34ABF5F812EFCEDB6DE" ma:contentTypeVersion="15" ma:contentTypeDescription="Create a new document." ma:contentTypeScope="" ma:versionID="6241294b9a2fdc81beebb30bdd327fba">
  <xsd:schema xmlns:xsd="http://www.w3.org/2001/XMLSchema" xmlns:xs="http://www.w3.org/2001/XMLSchema" xmlns:p="http://schemas.microsoft.com/office/2006/metadata/properties" xmlns:ns2="9fccc204-5713-4c78-a21d-59793ba36069" xmlns:ns3="15421740-46cd-401b-b22f-0b6c9da52387" targetNamespace="http://schemas.microsoft.com/office/2006/metadata/properties" ma:root="true" ma:fieldsID="c07db4645306d115b559a8defbf6df5e" ns2:_="" ns3:_="">
    <xsd:import namespace="9fccc204-5713-4c78-a21d-59793ba36069"/>
    <xsd:import namespace="15421740-46cd-401b-b22f-0b6c9da52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cc204-5713-4c78-a21d-59793ba36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145d69-b94f-4936-900b-c7e02704b2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1740-46cd-401b-b22f-0b6c9da52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81bf63-48a6-43d9-8adf-0012fec86478}" ma:internalName="TaxCatchAll" ma:showField="CatchAllData" ma:web="15421740-46cd-401b-b22f-0b6c9da52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5421740-46cd-401b-b22f-0b6c9da52387" xsi:nil="true"/>
    <lcf76f155ced4ddcb4097134ff3c332f xmlns="9fccc204-5713-4c78-a21d-59793ba3606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E72DD0-92E5-42A5-ADEE-C30043C76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cc204-5713-4c78-a21d-59793ba36069"/>
    <ds:schemaRef ds:uri="15421740-46cd-401b-b22f-0b6c9da5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5E1F3-B979-4813-BCC4-1A5BBD5304D7}">
  <ds:schemaRefs>
    <ds:schemaRef ds:uri="http://schemas.microsoft.com/office/2006/documentManagement/types"/>
    <ds:schemaRef ds:uri="http://purl.org/dc/dcmitype/"/>
    <ds:schemaRef ds:uri="http://purl.org/dc/elements/1.1/"/>
    <ds:schemaRef ds:uri="http://www.w3.org/XML/1998/namespace"/>
    <ds:schemaRef ds:uri="http://schemas.microsoft.com/office/2006/metadata/properties"/>
    <ds:schemaRef ds:uri="http://purl.org/dc/terms/"/>
    <ds:schemaRef ds:uri="9fccc204-5713-4c78-a21d-59793ba36069"/>
    <ds:schemaRef ds:uri="http://schemas.microsoft.com/office/infopath/2007/PartnerControls"/>
    <ds:schemaRef ds:uri="http://schemas.openxmlformats.org/package/2006/metadata/core-properties"/>
    <ds:schemaRef ds:uri="15421740-46cd-401b-b22f-0b6c9da52387"/>
  </ds:schemaRefs>
</ds:datastoreItem>
</file>

<file path=customXml/itemProps3.xml><?xml version="1.0" encoding="utf-8"?>
<ds:datastoreItem xmlns:ds="http://schemas.openxmlformats.org/officeDocument/2006/customXml" ds:itemID="{A5116249-4108-4B30-821D-65661209E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Pikus</dc:creator>
  <cp:keywords/>
  <dc:description/>
  <cp:lastModifiedBy>Hannah Pikus</cp:lastModifiedBy>
  <cp:revision>10</cp:revision>
  <dcterms:created xsi:type="dcterms:W3CDTF">2025-01-15T14:37:00Z</dcterms:created>
  <dcterms:modified xsi:type="dcterms:W3CDTF">2025-01-28T17:28:00Z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0x0101004B947405BA74E34ABF5F812EFCEDB6DE</vt:lpwstr>
  </property>
  <property fmtid="{D5CDD505-2E9C-101B-9397-08002B2CF9AE}" pid="3" name="MediaServiceImageTags">
    <vt:lpwstr/>
  </property>
</Properties>
</file>