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BFDF" w14:textId="34D31BB8" w:rsidR="00F13A7F" w:rsidRPr="009D18BC" w:rsidRDefault="00B43948" w:rsidP="009C31B0">
      <w:pPr>
        <w:spacing w:after="0" w:line="240" w:lineRule="auto"/>
        <w:jc w:val="center"/>
        <w:rPr>
          <w:rFonts w:ascii="Poppins" w:hAnsi="Poppins" w:cs="Poppins"/>
        </w:rPr>
      </w:pPr>
      <w:r>
        <w:rPr>
          <w:rFonts w:ascii="Poppins" w:eastAsia="Aptos" w:hAnsi="Poppins" w:cs="Poppins"/>
          <w:b/>
          <w:bCs/>
          <w:color w:val="E97132" w:themeColor="accent2"/>
          <w:sz w:val="44"/>
          <w:szCs w:val="44"/>
        </w:rPr>
        <w:t>Non-Financial Transactions</w:t>
      </w:r>
      <w:r w:rsidR="00DD06A6" w:rsidRPr="009D18BC">
        <w:rPr>
          <w:rFonts w:ascii="Poppins" w:eastAsia="Aptos" w:hAnsi="Poppins" w:cs="Poppins"/>
          <w:b/>
          <w:bCs/>
          <w:color w:val="E97132" w:themeColor="accent2"/>
          <w:sz w:val="44"/>
          <w:szCs w:val="44"/>
        </w:rPr>
        <w:t xml:space="preserve"> -</w:t>
      </w:r>
      <w:r w:rsidR="00F13A7F" w:rsidRPr="009D18BC">
        <w:rPr>
          <w:rFonts w:ascii="Poppins" w:eastAsia="Aptos" w:hAnsi="Poppins" w:cs="Poppins"/>
          <w:b/>
          <w:bCs/>
          <w:color w:val="E97132" w:themeColor="accent2"/>
          <w:sz w:val="44"/>
          <w:szCs w:val="44"/>
        </w:rPr>
        <w:t xml:space="preserve"> Business Case</w:t>
      </w:r>
    </w:p>
    <w:p w14:paraId="58AB822A" w14:textId="77777777" w:rsidR="00F13A7F" w:rsidRPr="009D18BC" w:rsidRDefault="00F13A7F" w:rsidP="00DD06A6">
      <w:pPr>
        <w:pStyle w:val="ListParagraph"/>
        <w:spacing w:after="0" w:line="240" w:lineRule="auto"/>
        <w:ind w:left="0"/>
        <w:rPr>
          <w:rFonts w:ascii="Poppins" w:hAnsi="Poppins" w:cs="Poppins"/>
          <w:b/>
          <w:bCs/>
          <w:color w:val="156082" w:themeColor="accent1"/>
          <w:sz w:val="22"/>
          <w:szCs w:val="22"/>
        </w:rPr>
      </w:pPr>
    </w:p>
    <w:p w14:paraId="46AD5FEC" w14:textId="61B29278" w:rsidR="00F13A7F" w:rsidRPr="005E0A15" w:rsidRDefault="00F13A7F" w:rsidP="00DD06A6">
      <w:pPr>
        <w:pStyle w:val="ListParagraph"/>
        <w:spacing w:after="0" w:line="240" w:lineRule="auto"/>
        <w:ind w:left="0"/>
        <w:rPr>
          <w:rFonts w:ascii="Poppins" w:hAnsi="Poppins" w:cs="Poppins"/>
          <w:sz w:val="22"/>
          <w:szCs w:val="22"/>
        </w:rPr>
      </w:pPr>
      <w:r w:rsidRPr="005E0A15">
        <w:rPr>
          <w:rStyle w:val="Heading3Char"/>
          <w:rFonts w:ascii="Poppins" w:hAnsi="Poppins" w:cs="Poppins"/>
          <w:b/>
          <w:bCs/>
          <w:sz w:val="22"/>
          <w:szCs w:val="22"/>
        </w:rPr>
        <w:t>Submitted by:</w:t>
      </w:r>
      <w:r w:rsidRPr="005E0A15">
        <w:rPr>
          <w:rFonts w:ascii="Poppins" w:hAnsi="Poppins" w:cs="Poppins"/>
          <w:b/>
          <w:bCs/>
          <w:color w:val="156082" w:themeColor="accent1"/>
          <w:sz w:val="22"/>
          <w:szCs w:val="22"/>
        </w:rPr>
        <w:t xml:space="preserve"> </w:t>
      </w:r>
      <w:r w:rsidRPr="005E0A15">
        <w:rPr>
          <w:rFonts w:ascii="Poppins" w:hAnsi="Poppins" w:cs="Poppins"/>
          <w:sz w:val="22"/>
          <w:szCs w:val="22"/>
        </w:rPr>
        <w:t>Jeanann Smith, Director/Head of Insurance &amp; Retirement Solutions, DTCC (</w:t>
      </w:r>
      <w:r w:rsidR="008C0FA4" w:rsidRPr="005E0A15">
        <w:rPr>
          <w:rFonts w:ascii="Poppins" w:hAnsi="Poppins" w:cs="Poppins"/>
          <w:sz w:val="22"/>
          <w:szCs w:val="22"/>
        </w:rPr>
        <w:t>In</w:t>
      </w:r>
      <w:r w:rsidRPr="005E0A15">
        <w:rPr>
          <w:rFonts w:ascii="Poppins" w:hAnsi="Poppins" w:cs="Poppins"/>
          <w:sz w:val="22"/>
          <w:szCs w:val="22"/>
        </w:rPr>
        <w:t xml:space="preserve"> partnership with </w:t>
      </w:r>
      <w:r w:rsidR="00D07498" w:rsidRPr="005E0A15">
        <w:rPr>
          <w:rFonts w:ascii="Poppins" w:hAnsi="Poppins" w:cs="Poppins"/>
          <w:sz w:val="22"/>
          <w:szCs w:val="22"/>
        </w:rPr>
        <w:t>Edward Jones, Morgan Stanley, and JPMorgan Chase, along with insurance carriers Corebridge and Athene.</w:t>
      </w:r>
      <w:r w:rsidRPr="005E0A15">
        <w:rPr>
          <w:rFonts w:ascii="Poppins" w:hAnsi="Poppins" w:cs="Poppins"/>
          <w:sz w:val="22"/>
          <w:szCs w:val="22"/>
        </w:rPr>
        <w:t>)</w:t>
      </w:r>
    </w:p>
    <w:p w14:paraId="4B5585B4" w14:textId="77777777" w:rsidR="00C27587" w:rsidRPr="005E0A15" w:rsidRDefault="00C27587" w:rsidP="00DD06A6">
      <w:pPr>
        <w:pStyle w:val="ListParagraph"/>
        <w:spacing w:after="0" w:line="240" w:lineRule="auto"/>
        <w:ind w:left="0"/>
        <w:rPr>
          <w:rFonts w:ascii="Poppins" w:eastAsia="Aptos" w:hAnsi="Poppins" w:cs="Poppins"/>
          <w:sz w:val="22"/>
          <w:szCs w:val="22"/>
        </w:rPr>
      </w:pPr>
    </w:p>
    <w:p w14:paraId="72D62F93" w14:textId="449B3EE1" w:rsidR="00445052" w:rsidRPr="005E0A15" w:rsidRDefault="43908033" w:rsidP="00DD06A6">
      <w:pPr>
        <w:pStyle w:val="Heading3"/>
        <w:spacing w:before="0" w:after="0" w:line="240" w:lineRule="auto"/>
        <w:rPr>
          <w:rFonts w:ascii="Poppins" w:hAnsi="Poppins" w:cs="Poppins"/>
          <w:sz w:val="22"/>
          <w:szCs w:val="22"/>
        </w:rPr>
      </w:pPr>
      <w:r w:rsidRPr="005E0A15">
        <w:rPr>
          <w:rFonts w:ascii="Poppins" w:eastAsia="Aptos" w:hAnsi="Poppins" w:cs="Poppins"/>
          <w:b/>
          <w:bCs/>
          <w:sz w:val="22"/>
          <w:szCs w:val="22"/>
        </w:rPr>
        <w:t>Executive Summary</w:t>
      </w:r>
      <w:r w:rsidR="00843403" w:rsidRPr="005E0A15">
        <w:rPr>
          <w:rFonts w:ascii="Poppins" w:eastAsia="Aptos" w:hAnsi="Poppins" w:cs="Poppins"/>
          <w:b/>
          <w:bCs/>
          <w:sz w:val="22"/>
          <w:szCs w:val="22"/>
        </w:rPr>
        <w:t>:</w:t>
      </w:r>
    </w:p>
    <w:p w14:paraId="2FE10A68" w14:textId="3429402A" w:rsidR="00AC0F0F" w:rsidRPr="005E0A15" w:rsidRDefault="00AC0F0F" w:rsidP="00DD06A6">
      <w:pPr>
        <w:pStyle w:val="Heading3"/>
        <w:spacing w:before="0" w:after="0" w:line="240" w:lineRule="auto"/>
        <w:rPr>
          <w:rFonts w:ascii="Poppins" w:eastAsiaTheme="minorEastAsia" w:hAnsi="Poppins" w:cs="Poppins"/>
          <w:color w:val="auto"/>
          <w:sz w:val="22"/>
          <w:szCs w:val="22"/>
        </w:rPr>
      </w:pPr>
      <w:r w:rsidRPr="005E0A15">
        <w:rPr>
          <w:rFonts w:ascii="Poppins" w:eastAsiaTheme="minorEastAsia" w:hAnsi="Poppins" w:cs="Poppins"/>
          <w:color w:val="auto"/>
          <w:sz w:val="22"/>
          <w:szCs w:val="22"/>
        </w:rPr>
        <w:t>To continue advancing the insurance industry's transition to modern, API-driven processing, DTCC would like to partner with IRI to establish a dedicated working group focused on defining and standardizing In-Force Non-Financial transactions.</w:t>
      </w:r>
      <w:r w:rsidR="00ED7E18" w:rsidRPr="005E0A15">
        <w:rPr>
          <w:rFonts w:ascii="Poppins" w:eastAsiaTheme="minorEastAsia" w:hAnsi="Poppins" w:cs="Poppins"/>
          <w:color w:val="auto"/>
          <w:sz w:val="22"/>
          <w:szCs w:val="22"/>
        </w:rPr>
        <w:t xml:space="preserve"> </w:t>
      </w:r>
      <w:r w:rsidRPr="005E0A15">
        <w:rPr>
          <w:rFonts w:ascii="Poppins" w:eastAsiaTheme="minorEastAsia" w:hAnsi="Poppins" w:cs="Poppins"/>
          <w:color w:val="auto"/>
          <w:sz w:val="22"/>
          <w:szCs w:val="22"/>
        </w:rPr>
        <w:t>DTCC is prepared to contribute initial business requirements, message schemas, and data dictionary artifacts to help accelerate the working group's efforts and drive timely delivery of standardized, implementable APIs. This aligns with prior industry discussions to expand support for non-financial transactions and broaden participation across carriers, distributors, and technology providers to ensure scalable adoption and long-term interoperability.</w:t>
      </w:r>
    </w:p>
    <w:p w14:paraId="5BC717CF" w14:textId="77777777" w:rsidR="00AC0F0F" w:rsidRPr="005E0A15" w:rsidRDefault="00AC0F0F" w:rsidP="00DD06A6">
      <w:pPr>
        <w:pStyle w:val="Heading3"/>
        <w:spacing w:before="0" w:after="0" w:line="240" w:lineRule="auto"/>
        <w:rPr>
          <w:rFonts w:ascii="Poppins" w:eastAsiaTheme="minorEastAsia" w:hAnsi="Poppins" w:cs="Poppins"/>
          <w:color w:val="auto"/>
          <w:sz w:val="22"/>
          <w:szCs w:val="22"/>
        </w:rPr>
      </w:pPr>
    </w:p>
    <w:p w14:paraId="4C09A7F1" w14:textId="6758FBF7" w:rsidR="00445052" w:rsidRPr="005E0A15" w:rsidRDefault="00005289" w:rsidP="00DD06A6">
      <w:pPr>
        <w:pStyle w:val="Heading3"/>
        <w:spacing w:before="0" w:after="0" w:line="240" w:lineRule="auto"/>
        <w:rPr>
          <w:rFonts w:ascii="Poppins" w:eastAsia="Aptos" w:hAnsi="Poppins" w:cs="Poppins"/>
          <w:b/>
          <w:bCs/>
          <w:sz w:val="22"/>
          <w:szCs w:val="22"/>
        </w:rPr>
      </w:pPr>
      <w:r w:rsidRPr="005E0A15">
        <w:rPr>
          <w:rFonts w:ascii="Poppins" w:eastAsia="Aptos" w:hAnsi="Poppins" w:cs="Poppins"/>
          <w:b/>
          <w:bCs/>
          <w:sz w:val="22"/>
          <w:szCs w:val="22"/>
        </w:rPr>
        <w:t>Problem:</w:t>
      </w:r>
    </w:p>
    <w:p w14:paraId="712AF20A" w14:textId="0455819A" w:rsidR="00584873" w:rsidRPr="005E0A15" w:rsidRDefault="00332B5B" w:rsidP="00584873">
      <w:pPr>
        <w:rPr>
          <w:rFonts w:ascii="Poppins" w:hAnsi="Poppins" w:cs="Poppins"/>
          <w:sz w:val="22"/>
          <w:szCs w:val="22"/>
        </w:rPr>
      </w:pPr>
      <w:r w:rsidRPr="005E0A15">
        <w:rPr>
          <w:rFonts w:ascii="Poppins" w:eastAsia="Times New Roman" w:hAnsi="Poppins" w:cs="Poppins"/>
          <w:color w:val="000000"/>
          <w:sz w:val="22"/>
          <w:szCs w:val="22"/>
          <w:lang w:eastAsia="en-US"/>
        </w:rPr>
        <w:t>These capabilities represent high-volume operational processes that remain largely manual and fragmented across the industry today.</w:t>
      </w:r>
    </w:p>
    <w:p w14:paraId="3DB25512" w14:textId="77777777" w:rsidR="00FE2DEC" w:rsidRPr="005E0A15" w:rsidRDefault="4E3EE122" w:rsidP="00E161D4">
      <w:pPr>
        <w:pStyle w:val="NormalWeb"/>
        <w:spacing w:before="0" w:beforeAutospacing="0" w:after="0" w:afterAutospacing="0"/>
        <w:rPr>
          <w:rFonts w:ascii="Poppins" w:hAnsi="Poppins" w:cs="Poppins"/>
          <w:sz w:val="22"/>
          <w:szCs w:val="22"/>
        </w:rPr>
      </w:pPr>
      <w:r w:rsidRPr="005E0A15">
        <w:rPr>
          <w:rStyle w:val="Heading3Char"/>
          <w:rFonts w:ascii="Poppins" w:hAnsi="Poppins" w:cs="Poppins"/>
          <w:b/>
          <w:bCs/>
          <w:sz w:val="22"/>
          <w:szCs w:val="22"/>
        </w:rPr>
        <w:t>O</w:t>
      </w:r>
      <w:r w:rsidR="11BC7BF6" w:rsidRPr="005E0A15">
        <w:rPr>
          <w:rStyle w:val="Heading3Char"/>
          <w:rFonts w:ascii="Poppins" w:hAnsi="Poppins" w:cs="Poppins"/>
          <w:b/>
          <w:bCs/>
          <w:sz w:val="22"/>
          <w:szCs w:val="22"/>
        </w:rPr>
        <w:t>bjective</w:t>
      </w:r>
      <w:r w:rsidRPr="005E0A15">
        <w:rPr>
          <w:rStyle w:val="Heading3Char"/>
          <w:rFonts w:ascii="Poppins" w:hAnsi="Poppins" w:cs="Poppins"/>
          <w:b/>
          <w:bCs/>
          <w:sz w:val="22"/>
          <w:szCs w:val="22"/>
        </w:rPr>
        <w:t>:</w:t>
      </w:r>
      <w:r w:rsidRPr="005E0A15">
        <w:rPr>
          <w:rFonts w:ascii="Poppins" w:hAnsi="Poppins" w:cs="Poppins"/>
          <w:sz w:val="22"/>
          <w:szCs w:val="22"/>
        </w:rPr>
        <w:t xml:space="preserve"> </w:t>
      </w:r>
    </w:p>
    <w:p w14:paraId="1F274C27" w14:textId="08D7267D" w:rsidR="00FE2DEC" w:rsidRPr="005E0A15" w:rsidRDefault="00460216" w:rsidP="00584873">
      <w:pPr>
        <w:spacing w:after="0" w:line="240" w:lineRule="auto"/>
        <w:rPr>
          <w:rStyle w:val="Emphasis"/>
          <w:rFonts w:ascii="Poppins" w:eastAsia="Times New Roman" w:hAnsi="Poppins" w:cs="Poppins"/>
          <w:i w:val="0"/>
          <w:iCs w:val="0"/>
          <w:color w:val="000000"/>
          <w:sz w:val="22"/>
          <w:szCs w:val="22"/>
          <w:lang w:eastAsia="en-US"/>
        </w:rPr>
      </w:pPr>
      <w:r w:rsidRPr="005E0A15">
        <w:rPr>
          <w:rFonts w:ascii="Poppins" w:hAnsi="Poppins" w:cs="Poppins"/>
          <w:sz w:val="22"/>
          <w:szCs w:val="22"/>
        </w:rPr>
        <w:t xml:space="preserve">Building on the momentum of IRI's Digital First for Annuities initiative and the industry's ongoing migration from legacy SOAP/XML messaging to REST/JSON APIs, </w:t>
      </w:r>
      <w:r w:rsidR="00ED7E18" w:rsidRPr="005E0A15">
        <w:rPr>
          <w:rFonts w:ascii="Poppins" w:hAnsi="Poppins" w:cs="Poppins"/>
          <w:sz w:val="22"/>
          <w:szCs w:val="22"/>
        </w:rPr>
        <w:t>this group will c</w:t>
      </w:r>
      <w:r w:rsidR="00584873" w:rsidRPr="005E0A15">
        <w:rPr>
          <w:rFonts w:ascii="Poppins" w:eastAsia="Times New Roman" w:hAnsi="Poppins" w:cs="Poppins"/>
          <w:color w:val="000000"/>
          <w:sz w:val="22"/>
          <w:szCs w:val="22"/>
          <w:lang w:eastAsia="en-US"/>
        </w:rPr>
        <w:t xml:space="preserve">reate and agree on business requirements related to owner and party changes, demographic updates (address, phone, email) and broker/dealer and representative of record changes. This working group will pass it over to the technical writers to create the related JSON specifications for review by the governance subcommittee. </w:t>
      </w:r>
    </w:p>
    <w:p w14:paraId="17D83A45" w14:textId="77777777" w:rsidR="009C31B0" w:rsidRPr="005E0A15" w:rsidRDefault="009C31B0" w:rsidP="00E161D4">
      <w:pPr>
        <w:pStyle w:val="NormalWeb"/>
        <w:spacing w:before="0" w:beforeAutospacing="0" w:after="0" w:afterAutospacing="0"/>
        <w:rPr>
          <w:rStyle w:val="Emphasis"/>
          <w:rFonts w:ascii="Poppins" w:eastAsiaTheme="majorEastAsia" w:hAnsi="Poppins" w:cs="Poppins"/>
          <w:b/>
          <w:bCs/>
          <w:i w:val="0"/>
          <w:iCs w:val="0"/>
          <w:sz w:val="22"/>
          <w:szCs w:val="22"/>
        </w:rPr>
      </w:pPr>
    </w:p>
    <w:p w14:paraId="43B0AF83" w14:textId="77777777" w:rsidR="00FE2DEC" w:rsidRPr="005E0A15" w:rsidRDefault="6E76DCF7" w:rsidP="00E161D4">
      <w:pPr>
        <w:pStyle w:val="NormalWeb"/>
        <w:spacing w:before="0" w:beforeAutospacing="0" w:after="0" w:afterAutospacing="0"/>
        <w:rPr>
          <w:rStyle w:val="Emphasis"/>
          <w:rFonts w:ascii="Poppins" w:eastAsiaTheme="majorEastAsia" w:hAnsi="Poppins" w:cs="Poppins"/>
          <w:b/>
          <w:bCs/>
          <w:i w:val="0"/>
          <w:iCs w:val="0"/>
          <w:sz w:val="22"/>
          <w:szCs w:val="22"/>
        </w:rPr>
      </w:pPr>
      <w:r w:rsidRPr="005E0A15">
        <w:rPr>
          <w:rStyle w:val="Heading3Char"/>
          <w:rFonts w:ascii="Poppins" w:hAnsi="Poppins" w:cs="Poppins"/>
          <w:b/>
          <w:bCs/>
          <w:sz w:val="22"/>
          <w:szCs w:val="22"/>
        </w:rPr>
        <w:t>Key Result:</w:t>
      </w:r>
      <w:r w:rsidR="7273DE90" w:rsidRPr="005E0A15">
        <w:rPr>
          <w:rStyle w:val="Emphasis"/>
          <w:rFonts w:ascii="Poppins" w:eastAsiaTheme="majorEastAsia" w:hAnsi="Poppins" w:cs="Poppins"/>
          <w:b/>
          <w:bCs/>
          <w:i w:val="0"/>
          <w:iCs w:val="0"/>
          <w:sz w:val="22"/>
          <w:szCs w:val="22"/>
        </w:rPr>
        <w:t xml:space="preserve"> </w:t>
      </w:r>
    </w:p>
    <w:p w14:paraId="046426DA" w14:textId="06EE7043" w:rsidR="00C43E9A" w:rsidRPr="005E0A15" w:rsidRDefault="00C43E9A" w:rsidP="00C43E9A">
      <w:pPr>
        <w:spacing w:after="0" w:line="240" w:lineRule="auto"/>
        <w:rPr>
          <w:rFonts w:ascii="Poppins" w:eastAsia="Times New Roman" w:hAnsi="Poppins" w:cs="Poppins"/>
          <w:color w:val="000000"/>
          <w:sz w:val="22"/>
          <w:szCs w:val="22"/>
          <w:lang w:eastAsia="en-US"/>
        </w:rPr>
      </w:pPr>
      <w:r w:rsidRPr="005E0A15">
        <w:rPr>
          <w:rFonts w:ascii="Poppins" w:eastAsia="Times New Roman" w:hAnsi="Poppins" w:cs="Poppins"/>
          <w:color w:val="000000"/>
          <w:sz w:val="22"/>
          <w:szCs w:val="22"/>
          <w:lang w:eastAsia="en-US"/>
        </w:rPr>
        <w:t xml:space="preserve">Establishing common standards and API specifications for these transactions will improve operational efficiency, reduce processing risk, enhance advisor and customer experiences, and accelerate consistent industry adoption of modern digital workflows. </w:t>
      </w:r>
    </w:p>
    <w:p w14:paraId="46EF74B4" w14:textId="77777777" w:rsidR="00E161D4" w:rsidRPr="005E0A15" w:rsidRDefault="00E161D4" w:rsidP="00DD06A6">
      <w:pPr>
        <w:pStyle w:val="Heading3"/>
        <w:spacing w:before="0" w:after="0" w:line="240" w:lineRule="auto"/>
        <w:rPr>
          <w:rFonts w:ascii="Poppins" w:eastAsia="Aptos" w:hAnsi="Poppins" w:cs="Poppins"/>
          <w:b/>
          <w:bCs/>
          <w:sz w:val="22"/>
          <w:szCs w:val="22"/>
        </w:rPr>
      </w:pPr>
    </w:p>
    <w:p w14:paraId="0CEE696A" w14:textId="28C2742C" w:rsidR="00445052" w:rsidRPr="005E0A15" w:rsidRDefault="6940F62D" w:rsidP="00DD06A6">
      <w:pPr>
        <w:pStyle w:val="Heading3"/>
        <w:spacing w:before="0" w:after="0" w:line="240" w:lineRule="auto"/>
        <w:rPr>
          <w:rFonts w:ascii="Poppins" w:hAnsi="Poppins" w:cs="Poppins"/>
          <w:sz w:val="22"/>
          <w:szCs w:val="22"/>
        </w:rPr>
      </w:pPr>
      <w:r w:rsidRPr="005E0A15">
        <w:rPr>
          <w:rFonts w:ascii="Poppins" w:eastAsia="Aptos" w:hAnsi="Poppins" w:cs="Poppins"/>
          <w:b/>
          <w:bCs/>
          <w:sz w:val="22"/>
          <w:szCs w:val="22"/>
        </w:rPr>
        <w:t>Use Cases</w:t>
      </w:r>
    </w:p>
    <w:p w14:paraId="07108C44" w14:textId="262E33CE" w:rsidR="00D807A9" w:rsidRPr="005E0A15" w:rsidRDefault="2FD3561B" w:rsidP="00D807A9">
      <w:pPr>
        <w:rPr>
          <w:rFonts w:ascii="Poppins" w:eastAsia="Times New Roman" w:hAnsi="Poppins" w:cs="Poppins"/>
          <w:color w:val="000000"/>
          <w:sz w:val="22"/>
          <w:szCs w:val="22"/>
          <w:lang w:eastAsia="en-US"/>
        </w:rPr>
      </w:pPr>
      <w:r w:rsidRPr="005E0A15">
        <w:rPr>
          <w:rFonts w:ascii="Poppins" w:eastAsia="Aptos" w:hAnsi="Poppins" w:cs="Poppins"/>
          <w:b/>
          <w:bCs/>
          <w:sz w:val="22"/>
          <w:szCs w:val="22"/>
        </w:rPr>
        <w:t>Use Case 1</w:t>
      </w:r>
      <w:r w:rsidRPr="005E0A15">
        <w:rPr>
          <w:rFonts w:ascii="Poppins" w:eastAsia="Aptos" w:hAnsi="Poppins" w:cs="Poppins"/>
          <w:sz w:val="22"/>
          <w:szCs w:val="22"/>
        </w:rPr>
        <w:t xml:space="preserve">: </w:t>
      </w:r>
      <w:r w:rsidR="00D807A9" w:rsidRPr="005E0A15">
        <w:rPr>
          <w:rFonts w:ascii="Poppins" w:eastAsia="Times New Roman" w:hAnsi="Poppins" w:cs="Poppins"/>
          <w:color w:val="000000"/>
          <w:sz w:val="22"/>
          <w:szCs w:val="22"/>
          <w:lang w:eastAsia="en-US"/>
        </w:rPr>
        <w:t xml:space="preserve">This use case proposes the formation of an IRI working group to define standardized business requirements. The objective is to establish a consistent, interoperable framework that enables carriers, distributors, technology providers, and service platforms to automate these servicing events while reducing operational friction. </w:t>
      </w:r>
    </w:p>
    <w:p w14:paraId="1A40CD6E" w14:textId="0A69B0DA" w:rsidR="007A6D6E" w:rsidRPr="009D18BC" w:rsidRDefault="007A6D6E" w:rsidP="00DD06A6">
      <w:pPr>
        <w:pStyle w:val="ListParagraph"/>
        <w:spacing w:after="0" w:line="240" w:lineRule="auto"/>
        <w:ind w:left="0"/>
        <w:rPr>
          <w:rFonts w:ascii="Poppins" w:eastAsia="Aptos" w:hAnsi="Poppins" w:cs="Poppins"/>
          <w:b/>
          <w:bCs/>
          <w:sz w:val="22"/>
          <w:szCs w:val="22"/>
        </w:rPr>
      </w:pPr>
    </w:p>
    <w:p w14:paraId="4248EF0F" w14:textId="77777777" w:rsidR="00F713E2" w:rsidRPr="009D18BC" w:rsidRDefault="00F713E2" w:rsidP="00DD06A6">
      <w:pPr>
        <w:spacing w:after="0" w:line="240" w:lineRule="auto"/>
        <w:rPr>
          <w:rFonts w:ascii="Poppins" w:eastAsia="Times New Roman" w:hAnsi="Poppins" w:cs="Poppins"/>
          <w:sz w:val="22"/>
          <w:szCs w:val="22"/>
          <w:lang w:eastAsia="en-US"/>
        </w:rPr>
      </w:pPr>
    </w:p>
    <w:p w14:paraId="204B44DF" w14:textId="77777777" w:rsidR="0028602B" w:rsidRPr="009D18BC" w:rsidRDefault="0028602B" w:rsidP="00DD06A6">
      <w:pPr>
        <w:spacing w:after="0" w:line="240" w:lineRule="auto"/>
        <w:rPr>
          <w:rFonts w:ascii="Poppins" w:eastAsia="Times New Roman" w:hAnsi="Poppins" w:cs="Poppins"/>
          <w:sz w:val="22"/>
          <w:szCs w:val="22"/>
          <w:lang w:eastAsia="en-US"/>
        </w:rPr>
      </w:pPr>
    </w:p>
    <w:p w14:paraId="7D83C15A" w14:textId="77777777" w:rsidR="0028602B" w:rsidRPr="009D18BC" w:rsidRDefault="0028602B" w:rsidP="00DD06A6">
      <w:pPr>
        <w:spacing w:after="0" w:line="240" w:lineRule="auto"/>
        <w:rPr>
          <w:rFonts w:ascii="Poppins" w:eastAsia="Times New Roman" w:hAnsi="Poppins" w:cs="Poppins"/>
          <w:sz w:val="22"/>
          <w:szCs w:val="22"/>
          <w:lang w:eastAsia="en-US"/>
        </w:rPr>
      </w:pPr>
    </w:p>
    <w:p w14:paraId="3F8E8371" w14:textId="77777777" w:rsidR="0028602B" w:rsidRPr="009D18BC" w:rsidRDefault="0028602B" w:rsidP="00DD06A6">
      <w:pPr>
        <w:spacing w:after="0" w:line="240" w:lineRule="auto"/>
        <w:rPr>
          <w:rFonts w:ascii="Poppins" w:eastAsia="Times New Roman" w:hAnsi="Poppins" w:cs="Poppins"/>
          <w:sz w:val="22"/>
          <w:szCs w:val="22"/>
          <w:lang w:eastAsia="en-US"/>
        </w:rPr>
      </w:pPr>
    </w:p>
    <w:p w14:paraId="1054C0AA" w14:textId="77777777" w:rsidR="00A14700" w:rsidRPr="009D18BC" w:rsidRDefault="00A14700" w:rsidP="00DD06A6">
      <w:pPr>
        <w:spacing w:after="0" w:line="240" w:lineRule="auto"/>
        <w:rPr>
          <w:rFonts w:ascii="Poppins" w:eastAsia="Times New Roman" w:hAnsi="Poppins" w:cs="Poppins"/>
          <w:sz w:val="22"/>
          <w:szCs w:val="22"/>
          <w:lang w:eastAsia="en-US"/>
        </w:rPr>
      </w:pPr>
    </w:p>
    <w:p w14:paraId="4842F914" w14:textId="77777777" w:rsidR="00A14700" w:rsidRPr="009D18BC" w:rsidRDefault="00A14700" w:rsidP="00DD06A6">
      <w:pPr>
        <w:spacing w:after="0" w:line="240" w:lineRule="auto"/>
        <w:rPr>
          <w:rFonts w:ascii="Poppins" w:eastAsia="Times New Roman" w:hAnsi="Poppins" w:cs="Poppins"/>
          <w:sz w:val="22"/>
          <w:szCs w:val="22"/>
          <w:lang w:eastAsia="en-US"/>
        </w:rPr>
      </w:pPr>
    </w:p>
    <w:p w14:paraId="6E3354AC" w14:textId="77777777" w:rsidR="003F7657" w:rsidRPr="009D18BC" w:rsidRDefault="003F7657" w:rsidP="00DD06A6">
      <w:pPr>
        <w:spacing w:after="0" w:line="240" w:lineRule="auto"/>
        <w:rPr>
          <w:rFonts w:ascii="Poppins" w:eastAsia="Times New Roman" w:hAnsi="Poppins" w:cs="Poppins"/>
          <w:sz w:val="22"/>
          <w:szCs w:val="22"/>
          <w:lang w:eastAsia="en-US"/>
        </w:rPr>
      </w:pPr>
    </w:p>
    <w:p w14:paraId="0000216F" w14:textId="77777777" w:rsidR="00F713E2" w:rsidRPr="009D18BC" w:rsidRDefault="00F713E2" w:rsidP="00DD06A6">
      <w:pPr>
        <w:spacing w:after="0" w:line="240" w:lineRule="auto"/>
        <w:rPr>
          <w:rFonts w:ascii="Poppins" w:hAnsi="Poppins" w:cs="Poppins"/>
          <w:sz w:val="22"/>
          <w:szCs w:val="22"/>
        </w:rPr>
      </w:pPr>
    </w:p>
    <w:sectPr w:rsidR="00F713E2" w:rsidRPr="009D18BC" w:rsidSect="000132D3">
      <w:headerReference w:type="default"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5238E" w14:textId="77777777" w:rsidR="00D82F3E" w:rsidRDefault="00D82F3E" w:rsidP="00245E6D">
      <w:pPr>
        <w:spacing w:after="0" w:line="240" w:lineRule="auto"/>
      </w:pPr>
      <w:r>
        <w:separator/>
      </w:r>
    </w:p>
  </w:endnote>
  <w:endnote w:type="continuationSeparator" w:id="0">
    <w:p w14:paraId="62583371" w14:textId="77777777" w:rsidR="00D82F3E" w:rsidRDefault="00D82F3E" w:rsidP="00245E6D">
      <w:pPr>
        <w:spacing w:after="0" w:line="240" w:lineRule="auto"/>
      </w:pPr>
      <w:r>
        <w:continuationSeparator/>
      </w:r>
    </w:p>
  </w:endnote>
  <w:endnote w:type="continuationNotice" w:id="1">
    <w:p w14:paraId="46E1BE19" w14:textId="77777777" w:rsidR="00D82F3E" w:rsidRDefault="00D82F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82F0" w14:textId="2E368270" w:rsidR="000132D3" w:rsidRPr="000132D3" w:rsidRDefault="000132D3">
    <w:pPr>
      <w:pStyle w:val="Footer"/>
      <w:rPr>
        <w:i/>
        <w:iCs/>
        <w:sz w:val="16"/>
        <w:szCs w:val="16"/>
      </w:rPr>
    </w:pPr>
    <w:r w:rsidRPr="00961936">
      <w:rPr>
        <w:i/>
        <w:iCs/>
        <w:sz w:val="16"/>
        <w:szCs w:val="16"/>
      </w:rPr>
      <w:t>The views, opinions, and information expressed in this document do not constitute a legal opinion or conclusions of the Insured Retirement Institute, its staff, or its member companies, and should not be used as the sole basis for making individual company decisions or conclusions. Each member company should exercise its own independent business judgment in making implementation and compliance decisions.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7C2E" w14:textId="77777777" w:rsidR="00D82F3E" w:rsidRDefault="00D82F3E" w:rsidP="00245E6D">
      <w:pPr>
        <w:spacing w:after="0" w:line="240" w:lineRule="auto"/>
      </w:pPr>
      <w:r>
        <w:separator/>
      </w:r>
    </w:p>
  </w:footnote>
  <w:footnote w:type="continuationSeparator" w:id="0">
    <w:p w14:paraId="483D283D" w14:textId="77777777" w:rsidR="00D82F3E" w:rsidRDefault="00D82F3E" w:rsidP="00245E6D">
      <w:pPr>
        <w:spacing w:after="0" w:line="240" w:lineRule="auto"/>
      </w:pPr>
      <w:r>
        <w:continuationSeparator/>
      </w:r>
    </w:p>
  </w:footnote>
  <w:footnote w:type="continuationNotice" w:id="1">
    <w:p w14:paraId="6A30F7DB" w14:textId="77777777" w:rsidR="00D82F3E" w:rsidRDefault="00D82F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E291" w14:textId="7EEAC752" w:rsidR="00245E6D" w:rsidRDefault="00245E6D" w:rsidP="00245E6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CBAE" w14:textId="0FED90F3" w:rsidR="000132D3" w:rsidRDefault="000132D3" w:rsidP="000132D3">
    <w:pPr>
      <w:pStyle w:val="Header"/>
      <w:jc w:val="right"/>
    </w:pPr>
    <w:r>
      <w:rPr>
        <w:noProof/>
      </w:rPr>
      <w:drawing>
        <wp:inline distT="0" distB="0" distL="0" distR="0" wp14:anchorId="27DE6D01" wp14:editId="1B089815">
          <wp:extent cx="1338072" cy="468141"/>
          <wp:effectExtent l="0" t="0" r="0" b="8255"/>
          <wp:docPr id="181266089" name="Picture 1" descr="A blue and black sign&#10;&#10;Description automatically generated">
            <a:extLst xmlns:a="http://schemas.openxmlformats.org/drawingml/2006/main">
              <a:ext uri="{FF2B5EF4-FFF2-40B4-BE49-F238E27FC236}">
                <a16:creationId xmlns:a16="http://schemas.microsoft.com/office/drawing/2014/main" id="{12FF4083-BCB0-4E91-AAF3-CEECD8D33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089" name="Picture 1" descr="A blue and black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5677" cy="4708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1AA"/>
    <w:multiLevelType w:val="hybridMultilevel"/>
    <w:tmpl w:val="4670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45CA9"/>
    <w:multiLevelType w:val="hybridMultilevel"/>
    <w:tmpl w:val="16EA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51BD8"/>
    <w:multiLevelType w:val="hybridMultilevel"/>
    <w:tmpl w:val="A8EC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15FF"/>
    <w:multiLevelType w:val="hybridMultilevel"/>
    <w:tmpl w:val="18F2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7A50"/>
    <w:multiLevelType w:val="hybridMultilevel"/>
    <w:tmpl w:val="5CA6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36618"/>
    <w:multiLevelType w:val="multilevel"/>
    <w:tmpl w:val="EA3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3BA9"/>
    <w:multiLevelType w:val="multilevel"/>
    <w:tmpl w:val="E7C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D156D"/>
    <w:multiLevelType w:val="multilevel"/>
    <w:tmpl w:val="3A9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53963"/>
    <w:multiLevelType w:val="hybridMultilevel"/>
    <w:tmpl w:val="83A4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31698"/>
    <w:multiLevelType w:val="multilevel"/>
    <w:tmpl w:val="11F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9578A"/>
    <w:multiLevelType w:val="hybridMultilevel"/>
    <w:tmpl w:val="3B70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2E7624"/>
    <w:multiLevelType w:val="multilevel"/>
    <w:tmpl w:val="21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46C17"/>
    <w:multiLevelType w:val="multilevel"/>
    <w:tmpl w:val="02F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5653F"/>
    <w:multiLevelType w:val="multilevel"/>
    <w:tmpl w:val="E58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151544">
    <w:abstractNumId w:val="6"/>
  </w:num>
  <w:num w:numId="2" w16cid:durableId="1256402781">
    <w:abstractNumId w:val="10"/>
  </w:num>
  <w:num w:numId="3" w16cid:durableId="126513907">
    <w:abstractNumId w:val="8"/>
  </w:num>
  <w:num w:numId="4" w16cid:durableId="1708337255">
    <w:abstractNumId w:val="5"/>
  </w:num>
  <w:num w:numId="5" w16cid:durableId="1789930485">
    <w:abstractNumId w:val="0"/>
  </w:num>
  <w:num w:numId="6" w16cid:durableId="1824203677">
    <w:abstractNumId w:val="11"/>
  </w:num>
  <w:num w:numId="7" w16cid:durableId="2047291738">
    <w:abstractNumId w:val="3"/>
  </w:num>
  <w:num w:numId="8" w16cid:durableId="2056390525">
    <w:abstractNumId w:val="12"/>
  </w:num>
  <w:num w:numId="9" w16cid:durableId="2100445268">
    <w:abstractNumId w:val="4"/>
  </w:num>
  <w:num w:numId="10" w16cid:durableId="491722246">
    <w:abstractNumId w:val="1"/>
  </w:num>
  <w:num w:numId="11" w16cid:durableId="648367347">
    <w:abstractNumId w:val="7"/>
  </w:num>
  <w:num w:numId="12" w16cid:durableId="656299614">
    <w:abstractNumId w:val="2"/>
  </w:num>
  <w:num w:numId="13" w16cid:durableId="670065345">
    <w:abstractNumId w:val="9"/>
  </w:num>
  <w:num w:numId="14" w16cid:durableId="685328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AC31A"/>
    <w:rsid w:val="00005289"/>
    <w:rsid w:val="000132D3"/>
    <w:rsid w:val="0001561F"/>
    <w:rsid w:val="00020419"/>
    <w:rsid w:val="00022FAF"/>
    <w:rsid w:val="000418DC"/>
    <w:rsid w:val="00043B8A"/>
    <w:rsid w:val="0008109C"/>
    <w:rsid w:val="000A06A0"/>
    <w:rsid w:val="000A6EE9"/>
    <w:rsid w:val="000B6954"/>
    <w:rsid w:val="000C11F6"/>
    <w:rsid w:val="000C5CCA"/>
    <w:rsid w:val="000F5FA7"/>
    <w:rsid w:val="000F601B"/>
    <w:rsid w:val="0014727E"/>
    <w:rsid w:val="001601A2"/>
    <w:rsid w:val="00164A94"/>
    <w:rsid w:val="00177A68"/>
    <w:rsid w:val="00186D42"/>
    <w:rsid w:val="001D0CCA"/>
    <w:rsid w:val="001D307A"/>
    <w:rsid w:val="001F2686"/>
    <w:rsid w:val="002234D5"/>
    <w:rsid w:val="00235476"/>
    <w:rsid w:val="00235487"/>
    <w:rsid w:val="00240397"/>
    <w:rsid w:val="00245E6D"/>
    <w:rsid w:val="00247B67"/>
    <w:rsid w:val="0025531A"/>
    <w:rsid w:val="0028602B"/>
    <w:rsid w:val="0029563D"/>
    <w:rsid w:val="002B6236"/>
    <w:rsid w:val="002C0E74"/>
    <w:rsid w:val="002C7E58"/>
    <w:rsid w:val="002D1ABB"/>
    <w:rsid w:val="00302CA7"/>
    <w:rsid w:val="00325FB5"/>
    <w:rsid w:val="00332AA5"/>
    <w:rsid w:val="00332B5B"/>
    <w:rsid w:val="00355F61"/>
    <w:rsid w:val="00380217"/>
    <w:rsid w:val="003A5E11"/>
    <w:rsid w:val="003A691A"/>
    <w:rsid w:val="003B7740"/>
    <w:rsid w:val="003D7469"/>
    <w:rsid w:val="003E308B"/>
    <w:rsid w:val="003F0E93"/>
    <w:rsid w:val="003F37FB"/>
    <w:rsid w:val="003F7657"/>
    <w:rsid w:val="00432EB6"/>
    <w:rsid w:val="00445052"/>
    <w:rsid w:val="00451362"/>
    <w:rsid w:val="00460216"/>
    <w:rsid w:val="0049340A"/>
    <w:rsid w:val="00495293"/>
    <w:rsid w:val="004A4184"/>
    <w:rsid w:val="004C21DE"/>
    <w:rsid w:val="004C2C5B"/>
    <w:rsid w:val="004E0CBF"/>
    <w:rsid w:val="004E4EA9"/>
    <w:rsid w:val="00513F7B"/>
    <w:rsid w:val="0052181F"/>
    <w:rsid w:val="00536FE0"/>
    <w:rsid w:val="005455A0"/>
    <w:rsid w:val="00574EA1"/>
    <w:rsid w:val="00584873"/>
    <w:rsid w:val="0059360E"/>
    <w:rsid w:val="0059611C"/>
    <w:rsid w:val="005A39D2"/>
    <w:rsid w:val="005A7C5F"/>
    <w:rsid w:val="005E0A15"/>
    <w:rsid w:val="005F385D"/>
    <w:rsid w:val="005F7F12"/>
    <w:rsid w:val="00615A91"/>
    <w:rsid w:val="00620A5C"/>
    <w:rsid w:val="00632496"/>
    <w:rsid w:val="006476D2"/>
    <w:rsid w:val="00690292"/>
    <w:rsid w:val="0069377A"/>
    <w:rsid w:val="006941B3"/>
    <w:rsid w:val="0069757A"/>
    <w:rsid w:val="006A1AF6"/>
    <w:rsid w:val="006A7AD8"/>
    <w:rsid w:val="006C099C"/>
    <w:rsid w:val="006C7090"/>
    <w:rsid w:val="006F0700"/>
    <w:rsid w:val="007202B2"/>
    <w:rsid w:val="007224EC"/>
    <w:rsid w:val="0073676B"/>
    <w:rsid w:val="0073684D"/>
    <w:rsid w:val="007527D6"/>
    <w:rsid w:val="007557C5"/>
    <w:rsid w:val="007601C4"/>
    <w:rsid w:val="007A6D6E"/>
    <w:rsid w:val="007C7066"/>
    <w:rsid w:val="007E595E"/>
    <w:rsid w:val="007E68A5"/>
    <w:rsid w:val="007E6AD1"/>
    <w:rsid w:val="007F352B"/>
    <w:rsid w:val="007F3FAA"/>
    <w:rsid w:val="008228E4"/>
    <w:rsid w:val="00843403"/>
    <w:rsid w:val="008542D2"/>
    <w:rsid w:val="008611FE"/>
    <w:rsid w:val="008765B4"/>
    <w:rsid w:val="0088055D"/>
    <w:rsid w:val="008B3882"/>
    <w:rsid w:val="008C0FA4"/>
    <w:rsid w:val="008C23CC"/>
    <w:rsid w:val="008D0123"/>
    <w:rsid w:val="008D5ED7"/>
    <w:rsid w:val="008F1F18"/>
    <w:rsid w:val="008F629C"/>
    <w:rsid w:val="008F6CEA"/>
    <w:rsid w:val="00907B8E"/>
    <w:rsid w:val="00913EEC"/>
    <w:rsid w:val="00937093"/>
    <w:rsid w:val="0097335F"/>
    <w:rsid w:val="009C31B0"/>
    <w:rsid w:val="009D18BC"/>
    <w:rsid w:val="009D25B1"/>
    <w:rsid w:val="009E583D"/>
    <w:rsid w:val="009E6331"/>
    <w:rsid w:val="00A14700"/>
    <w:rsid w:val="00A21EBD"/>
    <w:rsid w:val="00A27E34"/>
    <w:rsid w:val="00A32E29"/>
    <w:rsid w:val="00A41D85"/>
    <w:rsid w:val="00A51F0B"/>
    <w:rsid w:val="00A72FF4"/>
    <w:rsid w:val="00AA5001"/>
    <w:rsid w:val="00AB4697"/>
    <w:rsid w:val="00AC0F0F"/>
    <w:rsid w:val="00AE3A56"/>
    <w:rsid w:val="00B270F8"/>
    <w:rsid w:val="00B354BF"/>
    <w:rsid w:val="00B366D7"/>
    <w:rsid w:val="00B43948"/>
    <w:rsid w:val="00B87DD4"/>
    <w:rsid w:val="00B9584F"/>
    <w:rsid w:val="00BB5CC2"/>
    <w:rsid w:val="00BB6596"/>
    <w:rsid w:val="00BC7B39"/>
    <w:rsid w:val="00BD4957"/>
    <w:rsid w:val="00BD69B0"/>
    <w:rsid w:val="00BE6A89"/>
    <w:rsid w:val="00BF3501"/>
    <w:rsid w:val="00BF7862"/>
    <w:rsid w:val="00C02110"/>
    <w:rsid w:val="00C13256"/>
    <w:rsid w:val="00C27587"/>
    <w:rsid w:val="00C34114"/>
    <w:rsid w:val="00C43E9A"/>
    <w:rsid w:val="00C46367"/>
    <w:rsid w:val="00C50843"/>
    <w:rsid w:val="00C77309"/>
    <w:rsid w:val="00C84295"/>
    <w:rsid w:val="00CA1200"/>
    <w:rsid w:val="00CB754D"/>
    <w:rsid w:val="00CC6DC7"/>
    <w:rsid w:val="00CE1E5C"/>
    <w:rsid w:val="00CF6B76"/>
    <w:rsid w:val="00D07498"/>
    <w:rsid w:val="00D14D89"/>
    <w:rsid w:val="00D150C7"/>
    <w:rsid w:val="00D159EF"/>
    <w:rsid w:val="00D323F8"/>
    <w:rsid w:val="00D51701"/>
    <w:rsid w:val="00D70739"/>
    <w:rsid w:val="00D807A9"/>
    <w:rsid w:val="00D82F3E"/>
    <w:rsid w:val="00D86B2F"/>
    <w:rsid w:val="00DD06A6"/>
    <w:rsid w:val="00DE453B"/>
    <w:rsid w:val="00DE651D"/>
    <w:rsid w:val="00DF60C3"/>
    <w:rsid w:val="00E05A44"/>
    <w:rsid w:val="00E161D4"/>
    <w:rsid w:val="00E17807"/>
    <w:rsid w:val="00E62F58"/>
    <w:rsid w:val="00E63C6F"/>
    <w:rsid w:val="00ED7E18"/>
    <w:rsid w:val="00EE64B0"/>
    <w:rsid w:val="00F06A50"/>
    <w:rsid w:val="00F11E17"/>
    <w:rsid w:val="00F124F5"/>
    <w:rsid w:val="00F13A7F"/>
    <w:rsid w:val="00F26985"/>
    <w:rsid w:val="00F27B91"/>
    <w:rsid w:val="00F34863"/>
    <w:rsid w:val="00F511C3"/>
    <w:rsid w:val="00F57222"/>
    <w:rsid w:val="00F6269A"/>
    <w:rsid w:val="00F67900"/>
    <w:rsid w:val="00F713E2"/>
    <w:rsid w:val="00F933DB"/>
    <w:rsid w:val="00FD080F"/>
    <w:rsid w:val="00FE07CB"/>
    <w:rsid w:val="00FE1649"/>
    <w:rsid w:val="00FE2DEC"/>
    <w:rsid w:val="00FE4001"/>
    <w:rsid w:val="00FF48AF"/>
    <w:rsid w:val="048003C2"/>
    <w:rsid w:val="04BFD0C3"/>
    <w:rsid w:val="0566D0DD"/>
    <w:rsid w:val="069AD183"/>
    <w:rsid w:val="11BC7BF6"/>
    <w:rsid w:val="1718DE6C"/>
    <w:rsid w:val="1931523E"/>
    <w:rsid w:val="1A7FFB86"/>
    <w:rsid w:val="1B7AA29C"/>
    <w:rsid w:val="1C71240B"/>
    <w:rsid w:val="1C73D4A6"/>
    <w:rsid w:val="1EB6F21E"/>
    <w:rsid w:val="2515D986"/>
    <w:rsid w:val="2576CA36"/>
    <w:rsid w:val="26A67A13"/>
    <w:rsid w:val="26C6A52E"/>
    <w:rsid w:val="27585308"/>
    <w:rsid w:val="2A507D37"/>
    <w:rsid w:val="2A91336B"/>
    <w:rsid w:val="2B9D7634"/>
    <w:rsid w:val="2BC0B152"/>
    <w:rsid w:val="2C9FB9FA"/>
    <w:rsid w:val="2FB78F11"/>
    <w:rsid w:val="2FD3561B"/>
    <w:rsid w:val="300ED713"/>
    <w:rsid w:val="30F17C48"/>
    <w:rsid w:val="348E215A"/>
    <w:rsid w:val="366AECD9"/>
    <w:rsid w:val="38F36FF9"/>
    <w:rsid w:val="3C4AD102"/>
    <w:rsid w:val="3E075483"/>
    <w:rsid w:val="3F6E8482"/>
    <w:rsid w:val="404051A9"/>
    <w:rsid w:val="40ED0B96"/>
    <w:rsid w:val="414B525D"/>
    <w:rsid w:val="42070BBA"/>
    <w:rsid w:val="43908033"/>
    <w:rsid w:val="43B0591A"/>
    <w:rsid w:val="458A45D2"/>
    <w:rsid w:val="4BF2FBDB"/>
    <w:rsid w:val="4CC87BF3"/>
    <w:rsid w:val="4CDE9642"/>
    <w:rsid w:val="4D02A128"/>
    <w:rsid w:val="4E3EE122"/>
    <w:rsid w:val="5228222A"/>
    <w:rsid w:val="5231516A"/>
    <w:rsid w:val="53104C22"/>
    <w:rsid w:val="53907DEE"/>
    <w:rsid w:val="53942DE2"/>
    <w:rsid w:val="54DAC31A"/>
    <w:rsid w:val="56DF10F5"/>
    <w:rsid w:val="5950F47A"/>
    <w:rsid w:val="5BB6CFEE"/>
    <w:rsid w:val="5C3A8FD9"/>
    <w:rsid w:val="5CAD875A"/>
    <w:rsid w:val="5EADB913"/>
    <w:rsid w:val="5F67DE1B"/>
    <w:rsid w:val="62694380"/>
    <w:rsid w:val="62C1629F"/>
    <w:rsid w:val="655B380B"/>
    <w:rsid w:val="6940F62D"/>
    <w:rsid w:val="6C73D8CE"/>
    <w:rsid w:val="6CF5496D"/>
    <w:rsid w:val="6E76DCF7"/>
    <w:rsid w:val="72586221"/>
    <w:rsid w:val="7273DE90"/>
    <w:rsid w:val="739CD21A"/>
    <w:rsid w:val="74DFD089"/>
    <w:rsid w:val="7531E907"/>
    <w:rsid w:val="75C91571"/>
    <w:rsid w:val="761CCD8D"/>
    <w:rsid w:val="79D7D9C4"/>
    <w:rsid w:val="7B961421"/>
    <w:rsid w:val="7D1967E8"/>
    <w:rsid w:val="7E0C6A8C"/>
    <w:rsid w:val="7F29CB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DAC31A"/>
  <w15:chartTrackingRefBased/>
  <w15:docId w15:val="{635630ED-14CB-4C28-AF3F-B7DEA1CF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91"/>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FB78F11"/>
    <w:pPr>
      <w:ind w:left="720"/>
      <w:contextualSpacing/>
    </w:pPr>
  </w:style>
  <w:style w:type="paragraph" w:styleId="Header">
    <w:name w:val="header"/>
    <w:basedOn w:val="Normal"/>
    <w:link w:val="HeaderChar"/>
    <w:uiPriority w:val="99"/>
    <w:unhideWhenUsed/>
    <w:rsid w:val="0024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6D"/>
  </w:style>
  <w:style w:type="paragraph" w:styleId="Footer">
    <w:name w:val="footer"/>
    <w:basedOn w:val="Normal"/>
    <w:link w:val="FooterChar"/>
    <w:uiPriority w:val="99"/>
    <w:unhideWhenUsed/>
    <w:rsid w:val="0024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6D"/>
  </w:style>
  <w:style w:type="character" w:styleId="Strong">
    <w:name w:val="Strong"/>
    <w:basedOn w:val="DefaultParagraphFont"/>
    <w:uiPriority w:val="22"/>
    <w:qFormat/>
    <w:rsid w:val="0097335F"/>
    <w:rPr>
      <w:b/>
      <w:bCs/>
    </w:rPr>
  </w:style>
  <w:style w:type="character" w:styleId="Emphasis">
    <w:name w:val="Emphasis"/>
    <w:basedOn w:val="DefaultParagraphFont"/>
    <w:uiPriority w:val="20"/>
    <w:qFormat/>
    <w:rsid w:val="0097335F"/>
    <w:rPr>
      <w:i/>
      <w:iCs/>
    </w:rPr>
  </w:style>
  <w:style w:type="paragraph" w:styleId="NormalWeb">
    <w:name w:val="Normal (Web)"/>
    <w:basedOn w:val="Normal"/>
    <w:uiPriority w:val="99"/>
    <w:semiHidden/>
    <w:unhideWhenUsed/>
    <w:rsid w:val="00DE453B"/>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947405BA74E34ABF5F812EFCEDB6DE" ma:contentTypeVersion="15" ma:contentTypeDescription="Create a new document." ma:contentTypeScope="" ma:versionID="bbac5c9828b238fe2ca4d2b281d3f1ee">
  <xsd:schema xmlns:xsd="http://www.w3.org/2001/XMLSchema" xmlns:xs="http://www.w3.org/2001/XMLSchema" xmlns:p="http://schemas.microsoft.com/office/2006/metadata/properties" xmlns:ns2="9fccc204-5713-4c78-a21d-59793ba36069" xmlns:ns3="15421740-46cd-401b-b22f-0b6c9da52387" targetNamespace="http://schemas.microsoft.com/office/2006/metadata/properties" ma:root="true" ma:fieldsID="f8f4463e47ed2476cc4eb582c401836f" ns2:_="" ns3:_="">
    <xsd:import namespace="9fccc204-5713-4c78-a21d-59793ba36069"/>
    <xsd:import namespace="15421740-46cd-401b-b22f-0b6c9da52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cc204-5713-4c78-a21d-59793ba36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145d69-b94f-4936-900b-c7e02704b2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21740-46cd-401b-b22f-0b6c9da523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481bf63-48a6-43d9-8adf-0012fec86478}" ma:internalName="TaxCatchAll" ma:showField="CatchAllData" ma:web="15421740-46cd-401b-b22f-0b6c9da523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5421740-46cd-401b-b22f-0b6c9da52387" xsi:nil="true"/>
    <lcf76f155ced4ddcb4097134ff3c332f xmlns="9fccc204-5713-4c78-a21d-59793ba360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472B84-1A7B-4116-93A8-5091398E2EAF}">
  <ds:schemaRefs>
    <ds:schemaRef ds:uri="http://schemas.microsoft.com/sharepoint/v3/contenttype/forms"/>
  </ds:schemaRefs>
</ds:datastoreItem>
</file>

<file path=customXml/itemProps2.xml><?xml version="1.0" encoding="utf-8"?>
<ds:datastoreItem xmlns:ds="http://schemas.openxmlformats.org/officeDocument/2006/customXml" ds:itemID="{DE4B63FE-7348-4DA4-8070-FD555A787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ccc204-5713-4c78-a21d-59793ba36069"/>
    <ds:schemaRef ds:uri="15421740-46cd-401b-b22f-0b6c9da52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8965DE-8DF5-40AE-B3CB-A398251DFC13}">
  <ds:schemaRefs>
    <ds:schemaRef ds:uri="http://schemas.microsoft.com/office/2006/metadata/properties"/>
    <ds:schemaRef ds:uri="http://schemas.microsoft.com/office/infopath/2007/PartnerControls"/>
    <ds:schemaRef ds:uri="15421740-46cd-401b-b22f-0b6c9da52387"/>
    <ds:schemaRef ds:uri="9fccc204-5713-4c78-a21d-59793ba36069"/>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Pikus</dc:creator>
  <cp:keywords/>
  <dc:description/>
  <cp:lastModifiedBy>Matthew Hendrickson</cp:lastModifiedBy>
  <cp:revision>13</cp:revision>
  <dcterms:created xsi:type="dcterms:W3CDTF">2026-08-11T15:32:00Z</dcterms:created>
  <dcterms:modified xsi:type="dcterms:W3CDTF">2026-08-14T16:22:00Z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0x0101004B947405BA74E34ABF5F812EFCEDB6DE</vt:lpwstr>
  </property>
  <property fmtid="{D5CDD505-2E9C-101B-9397-08002B2CF9AE}" pid="3" name="MediaServiceImageTags">
    <vt:lpwstr/>
  </property>
  <property fmtid="{D5CDD505-2E9C-101B-9397-08002B2CF9AE}" pid="4" name="docLang">
    <vt:lpwstr>en</vt:lpwstr>
  </property>
</Properties>
</file>