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340"/>
        <w:jc w:val="center"/>
      </w:pPr>
      <w:r>
        <w:rPr>
          <w:rFonts w:ascii="맑은 고딕" w:cs="맑은 고딕" w:eastAsia="맑은 고딕" w:hAnsi="맑은 고딕"/>
          <w:b/>
          <w:bCs/>
          <w:color w:val="1A2744"/>
          <w:sz w:val="40"/>
          <w:szCs w:val="40"/>
        </w:rPr>
        <w:t xml:space="preserve">수 입 검 사 업 무 기 본 절 차 서</w:t>
      </w:r>
    </w:p>
    <w:p>
      <w:pPr>
        <w:spacing w:after="80" w:before="0" w:line="260"/>
        <w:jc w:val="center"/>
      </w:pPr>
      <w:r>
        <w:rPr>
          <w:rFonts w:ascii="맑은 고딕" w:cs="맑은 고딕" w:eastAsia="맑은 고딕" w:hAnsi="맑은 고딕"/>
          <w:color w:val="4B5563"/>
          <w:sz w:val="18"/>
          <w:szCs w:val="18"/>
        </w:rPr>
        <w:t xml:space="preserve">Incoming Inspection Standard Operating Procedure  ·  (주)인시스</w:t>
      </w:r>
    </w:p>
    <w:p>
      <w:pPr>
        <w:pBdr>
          <w:bottom w:val="single" w:color="2563EB" w:sz="8"/>
        </w:pBdr>
        <w:spacing w:after="0" w:before="0"/>
      </w:pPr>
    </w:p>
    <w:p>
      <w:pPr>
        <w:spacing w:after="0" w:before="0" w:line="100"/>
      </w:pPr>
    </w:p>
    <w:p>
      <w:pPr>
        <w:pBdr>
          <w:left w:val="single" w:color="2563EB" w:sz="18"/>
        </w:pBdr>
        <w:spacing w:after="60" w:before="200" w:line="276"/>
        <w:ind w:left="160"/>
      </w:pPr>
      <w:r>
        <w:rPr>
          <w:rFonts w:ascii="맑은 고딕" w:cs="맑은 고딕" w:eastAsia="맑은 고딕" w:hAnsi="맑은 고딕"/>
          <w:b/>
          <w:bCs/>
          <w:color w:val="1A2744"/>
          <w:sz w:val="22"/>
          <w:szCs w:val="22"/>
        </w:rPr>
        <w:t xml:space="preserve">문서 이력</w:t>
      </w:r>
    </w:p>
    <w:tbl>
      <w:tblPr>
        <w:tblW w:type="dxa" w:w="9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1500"/>
        <w:gridCol w:w="4252"/>
      </w:tblGrid>
      <w:tr>
        <w:trPr>
          <w:trHeight w:val="440" w:hRule="exact"/>
        </w:trPr>
        <w:tc>
          <w:tcPr>
            <w:tcW w:type="dxa" w:w="15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문서번호</w:t>
            </w:r>
          </w:p>
        </w:tc>
        <w:tc>
          <w:tcPr>
            <w:tcW w:type="dxa" w:w="25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제·개정일</w:t>
            </w:r>
          </w:p>
        </w:tc>
        <w:tc>
          <w:tcPr>
            <w:tcW w:type="dxa" w:w="15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개정번호</w:t>
            </w:r>
          </w:p>
        </w:tc>
        <w:tc>
          <w:tcPr>
            <w:tcW w:type="dxa" w:w="42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작성/검토/승인</w:t>
            </w:r>
          </w:p>
        </w:tc>
      </w:tr>
      <w:tr>
        <w:trPr>
          <w:trHeight w:val="460" w:hRule="exact"/>
        </w:trPr>
        <w:tc>
          <w:tcPr>
            <w:tcW w:type="dxa" w:w="15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INS-QC-SOP-001</w:t>
            </w:r>
          </w:p>
        </w:tc>
        <w:tc>
          <w:tcPr>
            <w:tcW w:type="dxa" w:w="25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2026.07.31</w:t>
            </w:r>
          </w:p>
        </w:tc>
        <w:tc>
          <w:tcPr>
            <w:tcW w:type="dxa" w:w="15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Rev.0  (초판)</w:t>
            </w:r>
          </w:p>
        </w:tc>
        <w:tc>
          <w:tcPr>
            <w:tcW w:type="dxa" w:w="42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작성: 김종선  /  검토:           /  승인:</w:t>
            </w:r>
          </w:p>
        </w:tc>
      </w:tr>
    </w:tbl>
    <w:p>
      <w:pPr>
        <w:spacing w:after="0" w:before="0" w:line="100"/>
      </w:pPr>
    </w:p>
    <w:p>
      <w:pPr>
        <w:pBdr>
          <w:left w:val="single" w:color="2563EB" w:sz="18"/>
        </w:pBdr>
        <w:spacing w:after="60" w:before="200" w:line="276"/>
        <w:ind w:left="160"/>
      </w:pPr>
      <w:r>
        <w:rPr>
          <w:rFonts w:ascii="맑은 고딕" w:cs="맑은 고딕" w:eastAsia="맑은 고딕" w:hAnsi="맑은 고딕"/>
          <w:b/>
          <w:bCs/>
          <w:color w:val="1A2744"/>
          <w:sz w:val="22"/>
          <w:szCs w:val="22"/>
        </w:rPr>
        <w:t xml:space="preserve">결  재</w:t>
      </w:r>
    </w:p>
    <w:tbl>
      <w:tblPr>
        <w:tblW w:type="dxa" w:w="9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50"/>
        <w:gridCol w:w="1950"/>
        <w:gridCol w:w="1950"/>
        <w:gridCol w:w="1950"/>
        <w:gridCol w:w="1952"/>
      </w:tblGrid>
      <w:tr>
        <w:trPr>
          <w:trHeight w:val="440" w:hRule="exact"/>
        </w:trPr>
        <w:tc>
          <w:tcPr>
            <w:tcW w:type="dxa" w:w="195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결  재</w:t>
            </w:r>
          </w:p>
        </w:tc>
        <w:tc>
          <w:tcPr>
            <w:tcW w:type="dxa" w:w="195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작  성</w:t>
            </w:r>
          </w:p>
        </w:tc>
        <w:tc>
          <w:tcPr>
            <w:tcW w:type="dxa" w:w="195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검  토</w:t>
            </w:r>
          </w:p>
        </w:tc>
        <w:tc>
          <w:tcPr>
            <w:tcW w:type="dxa" w:w="195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승  인</w:t>
            </w:r>
          </w:p>
        </w:tc>
        <w:tc>
          <w:tcPr>
            <w:tcW w:type="dxa" w:w="19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비  고</w:t>
            </w:r>
          </w:p>
        </w:tc>
      </w:tr>
      <w:tr>
        <w:trPr>
          <w:trHeight w:val="700" w:hRule="exact"/>
        </w:trPr>
        <w:tc>
          <w:tcPr>
            <w:tcW w:type="dxa" w:w="195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담당자</w:t>
            </w:r>
          </w:p>
        </w:tc>
        <w:tc>
          <w:tcPr>
            <w:tcW w:type="dxa" w:w="195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195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195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19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 w:line="120"/>
      </w:pPr>
    </w:p>
    <w:p>
      <w:pPr>
        <w:pBdr>
          <w:left w:val="single" w:color="2563EB" w:sz="18"/>
        </w:pBdr>
        <w:spacing w:after="60" w:before="200" w:line="276"/>
        <w:ind w:left="160"/>
      </w:pPr>
      <w:r>
        <w:rPr>
          <w:rFonts w:ascii="맑은 고딕" w:cs="맑은 고딕" w:eastAsia="맑은 고딕" w:hAnsi="맑은 고딕"/>
          <w:b/>
          <w:bCs/>
          <w:color w:val="1A2744"/>
          <w:sz w:val="22"/>
          <w:szCs w:val="22"/>
        </w:rPr>
        <w:t xml:space="preserve">1.  목  적</w:t>
      </w:r>
    </w:p>
    <w:p>
      <w:pPr>
        <w:spacing w:after="60" w:before="60" w:line="300"/>
        <w:ind/>
      </w:pPr>
      <w:r>
        <w:rPr>
          <w:rFonts w:ascii="맑은 고딕" w:cs="맑은 고딕" w:eastAsia="맑은 고딕" w:hAnsi="맑은 고딕"/>
          <w:b w:val="false"/>
          <w:bCs w:val="false"/>
          <w:color w:val="1A2744"/>
          <w:sz w:val="20"/>
          <w:szCs w:val="20"/>
        </w:rPr>
        <w:t xml:space="preserve">본 절차서는 (주)인시스에 입고되는 원자재·부품·반제품에 대한 수입검사 업무를 표준화하여 품질 기준에 부합하는 자재만이 생산 공정에 투입될 수 있도록 하는 것을 목적으로 한다.</w:t>
      </w:r>
    </w:p>
    <w:p>
      <w:pPr>
        <w:spacing w:after="0" w:before="0" w:line="100"/>
      </w:pPr>
    </w:p>
    <w:p>
      <w:pPr>
        <w:pBdr>
          <w:left w:val="single" w:color="2563EB" w:sz="18"/>
        </w:pBdr>
        <w:spacing w:after="60" w:before="200" w:line="276"/>
        <w:ind w:left="160"/>
      </w:pPr>
      <w:r>
        <w:rPr>
          <w:rFonts w:ascii="맑은 고딕" w:cs="맑은 고딕" w:eastAsia="맑은 고딕" w:hAnsi="맑은 고딕"/>
          <w:b/>
          <w:bCs/>
          <w:color w:val="1A2744"/>
          <w:sz w:val="22"/>
          <w:szCs w:val="22"/>
        </w:rPr>
        <w:t xml:space="preserve">2.  적  용  범  위</w:t>
      </w:r>
    </w:p>
    <w:p>
      <w:pPr>
        <w:spacing w:after="60" w:before="60" w:line="300"/>
        <w:ind/>
      </w:pPr>
      <w:r>
        <w:rPr>
          <w:rFonts w:ascii="맑은 고딕" w:cs="맑은 고딕" w:eastAsia="맑은 고딕" w:hAnsi="맑은 고딕"/>
          <w:b w:val="false"/>
          <w:bCs w:val="false"/>
          <w:color w:val="1A2744"/>
          <w:sz w:val="20"/>
          <w:szCs w:val="20"/>
        </w:rPr>
        <w:t xml:space="preserve">본 절차서는 (주)인시스 및 계열사에 입고되는 아래 품목의 수입검사 전반에 적용한다.</w:t>
      </w:r>
    </w:p>
    <w:p>
      <w:pPr>
        <w:spacing w:after="40" w:before="40" w:line="280"/>
        <w:ind w:left="400" w:hanging="200"/>
      </w:pPr>
      <w:r>
        <w:rPr>
          <w:rFonts w:ascii="맑은 고딕" w:cs="맑은 고딕" w:eastAsia="맑은 고딕" w:hAnsi="맑은 고딕"/>
          <w:b/>
          <w:bCs/>
          <w:color w:val="2563EB"/>
          <w:sz w:val="20"/>
          <w:szCs w:val="20"/>
        </w:rPr>
        <w:t xml:space="preserve">•  </w:t>
      </w:r>
      <w:r>
        <w:rPr>
          <w:rFonts w:ascii="맑은 고딕" w:cs="맑은 고딕" w:eastAsia="맑은 고딕" w:hAnsi="맑은 고딕"/>
          <w:color w:val="1A2744"/>
          <w:sz w:val="20"/>
          <w:szCs w:val="20"/>
        </w:rPr>
        <w:t xml:space="preserve">베어링류 (셰플러(Schaeffler) 등 고객사 납품용 포함)</w:t>
      </w:r>
    </w:p>
    <w:p>
      <w:pPr>
        <w:spacing w:after="40" w:before="40" w:line="280"/>
        <w:ind w:left="400" w:hanging="200"/>
      </w:pPr>
      <w:r>
        <w:rPr>
          <w:rFonts w:ascii="맑은 고딕" w:cs="맑은 고딕" w:eastAsia="맑은 고딕" w:hAnsi="맑은 고딕"/>
          <w:b/>
          <w:bCs/>
          <w:color w:val="2563EB"/>
          <w:sz w:val="20"/>
          <w:szCs w:val="20"/>
        </w:rPr>
        <w:t xml:space="preserve">•  </w:t>
      </w:r>
      <w:r>
        <w:rPr>
          <w:rFonts w:ascii="맑은 고딕" w:cs="맑은 고딕" w:eastAsia="맑은 고딕" w:hAnsi="맑은 고딕"/>
          <w:color w:val="1A2744"/>
          <w:sz w:val="20"/>
          <w:szCs w:val="20"/>
        </w:rPr>
        <w:t xml:space="preserve">전자부품·커넥터류</w:t>
      </w:r>
    </w:p>
    <w:p>
      <w:pPr>
        <w:spacing w:after="40" w:before="40" w:line="280"/>
        <w:ind w:left="400" w:hanging="200"/>
      </w:pPr>
      <w:r>
        <w:rPr>
          <w:rFonts w:ascii="맑은 고딕" w:cs="맑은 고딕" w:eastAsia="맑은 고딕" w:hAnsi="맑은 고딕"/>
          <w:b/>
          <w:bCs/>
          <w:color w:val="2563EB"/>
          <w:sz w:val="20"/>
          <w:szCs w:val="20"/>
        </w:rPr>
        <w:t xml:space="preserve">•  </w:t>
      </w:r>
      <w:r>
        <w:rPr>
          <w:rFonts w:ascii="맑은 고딕" w:cs="맑은 고딕" w:eastAsia="맑은 고딕" w:hAnsi="맑은 고딕"/>
          <w:color w:val="1A2744"/>
          <w:sz w:val="20"/>
          <w:szCs w:val="20"/>
        </w:rPr>
        <w:t xml:space="preserve">기구부품·금속가공품</w:t>
      </w:r>
    </w:p>
    <w:p>
      <w:pPr>
        <w:spacing w:after="40" w:before="40" w:line="280"/>
        <w:ind w:left="400" w:hanging="200"/>
      </w:pPr>
      <w:r>
        <w:rPr>
          <w:rFonts w:ascii="맑은 고딕" w:cs="맑은 고딕" w:eastAsia="맑은 고딕" w:hAnsi="맑은 고딕"/>
          <w:b/>
          <w:bCs/>
          <w:color w:val="2563EB"/>
          <w:sz w:val="20"/>
          <w:szCs w:val="20"/>
        </w:rPr>
        <w:t xml:space="preserve">•  </w:t>
      </w:r>
      <w:r>
        <w:rPr>
          <w:rFonts w:ascii="맑은 고딕" w:cs="맑은 고딕" w:eastAsia="맑은 고딕" w:hAnsi="맑은 고딕"/>
          <w:color w:val="1A2744"/>
          <w:sz w:val="20"/>
          <w:szCs w:val="20"/>
        </w:rPr>
        <w:t xml:space="preserve">기타 생산 및 외주 공정용 자재</w:t>
      </w:r>
    </w:p>
    <w:p>
      <w:pPr>
        <w:spacing w:after="0" w:before="0" w:line="100"/>
      </w:pPr>
    </w:p>
    <w:p>
      <w:pPr>
        <w:pBdr>
          <w:left w:val="single" w:color="2563EB" w:sz="18"/>
        </w:pBdr>
        <w:spacing w:after="60" w:before="200" w:line="276"/>
        <w:ind w:left="160"/>
      </w:pPr>
      <w:r>
        <w:rPr>
          <w:rFonts w:ascii="맑은 고딕" w:cs="맑은 고딕" w:eastAsia="맑은 고딕" w:hAnsi="맑은 고딕"/>
          <w:b/>
          <w:bCs/>
          <w:color w:val="1A2744"/>
          <w:sz w:val="22"/>
          <w:szCs w:val="22"/>
        </w:rPr>
        <w:t xml:space="preserve">3.  용어 정의</w:t>
      </w:r>
    </w:p>
    <w:tbl>
      <w:tblPr>
        <w:tblW w:type="dxa" w:w="9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952"/>
      </w:tblGrid>
      <w:tr>
        <w:trPr>
          <w:trHeight w:val="440" w:hRule="exact"/>
        </w:trPr>
        <w:tc>
          <w:tcPr>
            <w:tcW w:type="dxa" w:w="18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용  어</w:t>
            </w:r>
          </w:p>
        </w:tc>
        <w:tc>
          <w:tcPr>
            <w:tcW w:type="dxa" w:w="79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정  의</w:t>
            </w:r>
          </w:p>
        </w:tc>
      </w:tr>
      <w:tr>
        <w:trPr>
          <w:trHeight w:val="460" w:hRule="exact"/>
        </w:trPr>
        <w:tc>
          <w:tcPr>
            <w:tcW w:type="dxa" w:w="18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수입검사</w:t>
            </w:r>
          </w:p>
        </w:tc>
        <w:tc>
          <w:tcPr>
            <w:tcW w:type="dxa" w:w="79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외부 공급업체로부터 입고되는 원자재·부품·반제품의 품질을 입고 시 확인하는 검사</w:t>
            </w:r>
          </w:p>
        </w:tc>
      </w:tr>
      <w:tr>
        <w:trPr>
          <w:trHeight w:val="460" w:hRule="exact"/>
        </w:trPr>
        <w:tc>
          <w:tcPr>
            <w:tcW w:type="dxa" w:w="18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AQL</w:t>
            </w:r>
          </w:p>
        </w:tc>
        <w:tc>
          <w:tcPr>
            <w:tcW w:type="dxa" w:w="79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Acceptable Quality Level — 합격 품질 수준. 샘플링 검사 기준 (KS Q ISO 2859-1 적용)</w:t>
            </w:r>
          </w:p>
        </w:tc>
      </w:tr>
      <w:tr>
        <w:trPr>
          <w:trHeight w:val="460" w:hRule="exact"/>
        </w:trPr>
        <w:tc>
          <w:tcPr>
            <w:tcW w:type="dxa" w:w="18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기준서</w:t>
            </w:r>
          </w:p>
        </w:tc>
        <w:tc>
          <w:tcPr>
            <w:tcW w:type="dxa" w:w="79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고객사(셰플러 등)가 제공하는 검사항목·규격·판정기준이 기재된 문서</w:t>
            </w:r>
          </w:p>
        </w:tc>
      </w:tr>
      <w:tr>
        <w:trPr>
          <w:trHeight w:val="460" w:hRule="exact"/>
        </w:trPr>
        <w:tc>
          <w:tcPr>
            <w:tcW w:type="dxa" w:w="18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부적합품</w:t>
            </w:r>
          </w:p>
        </w:tc>
        <w:tc>
          <w:tcPr>
            <w:tcW w:type="dxa" w:w="79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검사 결과 고객사 기준을 충족하지 못하여 불합격 판정된 품목</w:t>
            </w:r>
          </w:p>
        </w:tc>
      </w:tr>
      <w:tr>
        <w:trPr>
          <w:trHeight w:val="460" w:hRule="exact"/>
        </w:trPr>
        <w:tc>
          <w:tcPr>
            <w:tcW w:type="dxa" w:w="18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SAP</w:t>
            </w:r>
          </w:p>
        </w:tc>
        <w:tc>
          <w:tcPr>
            <w:tcW w:type="dxa" w:w="79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인시스 전사 ERP 시스템. 기종별 검사성적서 유무 확인 및 성적서 내용 검토 결과 기입·이력 관리에 사용</w:t>
            </w:r>
          </w:p>
        </w:tc>
      </w:tr>
      <w:tr>
        <w:trPr>
          <w:trHeight w:val="460" w:hRule="exact"/>
        </w:trPr>
        <w:tc>
          <w:tcPr>
            <w:tcW w:type="dxa" w:w="18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검사성적서</w:t>
            </w:r>
          </w:p>
        </w:tc>
        <w:tc>
          <w:tcPr>
            <w:tcW w:type="dxa" w:w="79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공급업체가 제공하는 품목별 검사 결과 문서. SAP에서 유무 확인 후 성적서 존재 시 내용(최신 버전·항목 완전성 등) 추가 검토 필수</w:t>
            </w:r>
          </w:p>
        </w:tc>
      </w:tr>
      <w:tr>
        <w:trPr>
          <w:trHeight w:val="460" w:hRule="exact"/>
        </w:trPr>
        <w:tc>
          <w:tcPr>
            <w:tcW w:type="dxa" w:w="18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측정의뢰</w:t>
            </w:r>
          </w:p>
        </w:tc>
        <w:tc>
          <w:tcPr>
            <w:tcW w:type="dxa" w:w="79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입고품 외 별도로 측정·분석이 필요한 건을 검사팀에 의뢰하는 업무</w:t>
            </w:r>
          </w:p>
        </w:tc>
      </w:tr>
    </w:tbl>
    <w:p>
      <w:pPr>
        <w:spacing w:after="0" w:before="0" w:line="100"/>
      </w:pPr>
    </w:p>
    <w:p>
      <w:pPr>
        <w:pBdr>
          <w:left w:val="single" w:color="2563EB" w:sz="18"/>
        </w:pBdr>
        <w:spacing w:after="60" w:before="200" w:line="276"/>
        <w:ind w:left="160"/>
      </w:pPr>
      <w:r>
        <w:rPr>
          <w:rFonts w:ascii="맑은 고딕" w:cs="맑은 고딕" w:eastAsia="맑은 고딕" w:hAnsi="맑은 고딕"/>
          <w:b/>
          <w:bCs/>
          <w:color w:val="1A2744"/>
          <w:sz w:val="22"/>
          <w:szCs w:val="22"/>
        </w:rPr>
        <w:t xml:space="preserve">4.  책임과 권한</w:t>
      </w:r>
    </w:p>
    <w:p>
      <w:pPr>
        <w:spacing w:after="60" w:before="60" w:line="300"/>
        <w:ind/>
      </w:pPr>
      <w:r>
        <w:rPr>
          <w:rFonts w:ascii="맑은 고딕" w:cs="맑은 고딕" w:eastAsia="맑은 고딕" w:hAnsi="맑은 고딕"/>
          <w:b/>
          <w:bCs/>
          <w:color w:val="1A2744"/>
          <w:sz w:val="20"/>
          <w:szCs w:val="20"/>
        </w:rPr>
        <w:t xml:space="preserve">▶  검사 담당자</w:t>
      </w:r>
    </w:p>
    <w:p>
      <w:pPr>
        <w:spacing w:after="40" w:before="40" w:line="280"/>
        <w:ind w:left="400" w:hanging="200"/>
      </w:pPr>
      <w:r>
        <w:rPr>
          <w:rFonts w:ascii="맑은 고딕" w:cs="맑은 고딕" w:eastAsia="맑은 고딕" w:hAnsi="맑은 고딕"/>
          <w:b/>
          <w:bCs/>
          <w:color w:val="2563EB"/>
          <w:sz w:val="20"/>
          <w:szCs w:val="20"/>
        </w:rPr>
        <w:t xml:space="preserve">•  </w:t>
      </w:r>
      <w:r>
        <w:rPr>
          <w:rFonts w:ascii="맑은 고딕" w:cs="맑은 고딕" w:eastAsia="맑은 고딕" w:hAnsi="맑은 고딕"/>
          <w:color w:val="1A2744"/>
          <w:sz w:val="20"/>
          <w:szCs w:val="20"/>
        </w:rPr>
        <w:t xml:space="preserve">수입검사 실시 및 결과 기록 (SAP 입력·일일보고서 작성)</w:t>
      </w:r>
    </w:p>
    <w:p>
      <w:pPr>
        <w:spacing w:after="40" w:before="40" w:line="280"/>
        <w:ind w:left="400" w:hanging="200"/>
      </w:pPr>
      <w:r>
        <w:rPr>
          <w:rFonts w:ascii="맑은 고딕" w:cs="맑은 고딕" w:eastAsia="맑은 고딕" w:hAnsi="맑은 고딕"/>
          <w:b/>
          <w:bCs/>
          <w:color w:val="2563EB"/>
          <w:sz w:val="20"/>
          <w:szCs w:val="20"/>
        </w:rPr>
        <w:t xml:space="preserve">•  </w:t>
      </w:r>
      <w:r>
        <w:rPr>
          <w:rFonts w:ascii="맑은 고딕" w:cs="맑은 고딕" w:eastAsia="맑은 고딕" w:hAnsi="맑은 고딕"/>
          <w:color w:val="1A2744"/>
          <w:sz w:val="20"/>
          <w:szCs w:val="20"/>
        </w:rPr>
        <w:t xml:space="preserve">기준서 최신화 확인 및 누락 발견 시 SQM팀 서면 요청</w:t>
      </w:r>
    </w:p>
    <w:p>
      <w:pPr>
        <w:spacing w:after="40" w:before="40" w:line="280"/>
        <w:ind w:left="400" w:hanging="200"/>
      </w:pPr>
      <w:r>
        <w:rPr>
          <w:rFonts w:ascii="맑은 고딕" w:cs="맑은 고딕" w:eastAsia="맑은 고딕" w:hAnsi="맑은 고딕"/>
          <w:b/>
          <w:bCs/>
          <w:color w:val="2563EB"/>
          <w:sz w:val="20"/>
          <w:szCs w:val="20"/>
        </w:rPr>
        <w:t xml:space="preserve">•  </w:t>
      </w:r>
      <w:r>
        <w:rPr>
          <w:rFonts w:ascii="맑은 고딕" w:cs="맑은 고딕" w:eastAsia="맑은 고딕" w:hAnsi="맑은 고딕"/>
          <w:color w:val="1A2744"/>
          <w:sz w:val="20"/>
          <w:szCs w:val="20"/>
        </w:rPr>
        <w:t xml:space="preserve">부적합품 격리·태그 부착·관련 부서 통보</w:t>
      </w:r>
    </w:p>
    <w:p>
      <w:pPr>
        <w:spacing w:after="60" w:before="60" w:line="300"/>
        <w:ind/>
      </w:pPr>
      <w:r>
        <w:rPr>
          <w:rFonts w:ascii="맑은 고딕" w:cs="맑은 고딕" w:eastAsia="맑은 고딕" w:hAnsi="맑은 고딕"/>
          <w:b/>
          <w:bCs/>
          <w:color w:val="1A2744"/>
          <w:sz w:val="20"/>
          <w:szCs w:val="20"/>
        </w:rPr>
        <w:t xml:space="preserve">▶  SQM팀 담당자</w:t>
      </w:r>
    </w:p>
    <w:p>
      <w:pPr>
        <w:spacing w:after="40" w:before="40" w:line="280"/>
        <w:ind w:left="400" w:hanging="200"/>
      </w:pPr>
      <w:r>
        <w:rPr>
          <w:rFonts w:ascii="맑은 고딕" w:cs="맑은 고딕" w:eastAsia="맑은 고딕" w:hAnsi="맑은 고딕"/>
          <w:b/>
          <w:bCs/>
          <w:color w:val="2563EB"/>
          <w:sz w:val="20"/>
          <w:szCs w:val="20"/>
        </w:rPr>
        <w:t xml:space="preserve">•  </w:t>
      </w:r>
      <w:r>
        <w:rPr>
          <w:rFonts w:ascii="맑은 고딕" w:cs="맑은 고딕" w:eastAsia="맑은 고딕" w:hAnsi="맑은 고딕"/>
          <w:color w:val="1A2744"/>
          <w:sz w:val="20"/>
          <w:szCs w:val="20"/>
        </w:rPr>
        <w:t xml:space="preserve">고객사 검사기준서 시스템 등록·관리</w:t>
      </w:r>
    </w:p>
    <w:p>
      <w:pPr>
        <w:spacing w:after="40" w:before="40" w:line="280"/>
        <w:ind w:left="400" w:hanging="200"/>
      </w:pPr>
      <w:r>
        <w:rPr>
          <w:rFonts w:ascii="맑은 고딕" w:cs="맑은 고딕" w:eastAsia="맑은 고딕" w:hAnsi="맑은 고딕"/>
          <w:b/>
          <w:bCs/>
          <w:color w:val="2563EB"/>
          <w:sz w:val="20"/>
          <w:szCs w:val="20"/>
        </w:rPr>
        <w:t xml:space="preserve">•  </w:t>
      </w:r>
      <w:r>
        <w:rPr>
          <w:rFonts w:ascii="맑은 고딕" w:cs="맑은 고딕" w:eastAsia="맑은 고딕" w:hAnsi="맑은 고딕"/>
          <w:color w:val="1A2744"/>
          <w:sz w:val="20"/>
          <w:szCs w:val="20"/>
        </w:rPr>
        <w:t xml:space="preserve">기준서 누락·미갱신 요청 수신 시 즉시 처리 및 완료 회신</w:t>
      </w:r>
    </w:p>
    <w:p>
      <w:pPr>
        <w:spacing w:after="60" w:before="60" w:line="300"/>
        <w:ind/>
      </w:pPr>
      <w:r>
        <w:rPr>
          <w:rFonts w:ascii="맑은 고딕" w:cs="맑은 고딕" w:eastAsia="맑은 고딕" w:hAnsi="맑은 고딕"/>
          <w:b/>
          <w:bCs/>
          <w:color w:val="1A2744"/>
          <w:sz w:val="20"/>
          <w:szCs w:val="20"/>
        </w:rPr>
        <w:t xml:space="preserve">▶  품질책임자</w:t>
      </w:r>
    </w:p>
    <w:p>
      <w:pPr>
        <w:spacing w:after="40" w:before="40" w:line="280"/>
        <w:ind w:left="400" w:hanging="200"/>
      </w:pPr>
      <w:r>
        <w:rPr>
          <w:rFonts w:ascii="맑은 고딕" w:cs="맑은 고딕" w:eastAsia="맑은 고딕" w:hAnsi="맑은 고딕"/>
          <w:b/>
          <w:bCs/>
          <w:color w:val="2563EB"/>
          <w:sz w:val="20"/>
          <w:szCs w:val="20"/>
        </w:rPr>
        <w:t xml:space="preserve">•  </w:t>
      </w:r>
      <w:r>
        <w:rPr>
          <w:rFonts w:ascii="맑은 고딕" w:cs="맑은 고딕" w:eastAsia="맑은 고딕" w:hAnsi="맑은 고딕"/>
          <w:color w:val="1A2744"/>
          <w:sz w:val="20"/>
          <w:szCs w:val="20"/>
        </w:rPr>
        <w:t xml:space="preserve">부적합품 특채·폐기 최종 승인</w:t>
      </w:r>
    </w:p>
    <w:p>
      <w:pPr>
        <w:spacing w:after="40" w:before="40" w:line="280"/>
        <w:ind w:left="400" w:hanging="200"/>
      </w:pPr>
      <w:r>
        <w:rPr>
          <w:rFonts w:ascii="맑은 고딕" w:cs="맑은 고딕" w:eastAsia="맑은 고딕" w:hAnsi="맑은 고딕"/>
          <w:b/>
          <w:bCs/>
          <w:color w:val="2563EB"/>
          <w:sz w:val="20"/>
          <w:szCs w:val="20"/>
        </w:rPr>
        <w:t xml:space="preserve">•  </w:t>
      </w:r>
      <w:r>
        <w:rPr>
          <w:rFonts w:ascii="맑은 고딕" w:cs="맑은 고딕" w:eastAsia="맑은 고딕" w:hAnsi="맑은 고딕"/>
          <w:color w:val="1A2744"/>
          <w:sz w:val="20"/>
          <w:szCs w:val="20"/>
        </w:rPr>
        <w:t xml:space="preserve">분기 점검 결과 검토 및 SQM팀 보고</w:t>
      </w:r>
    </w:p>
    <w:p>
      <w:pPr>
        <w:spacing w:after="0" w:before="0" w:line="100"/>
      </w:pPr>
    </w:p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r>
          <w:br w:type="page"/>
        </w:r>
      </w:r>
    </w:p>
    <w:p>
      <w:pPr>
        <w:pBdr>
          <w:left w:val="single" w:color="2563EB" w:sz="18"/>
        </w:pBdr>
        <w:spacing w:after="60" w:before="200" w:line="276"/>
        <w:ind w:left="160"/>
      </w:pPr>
      <w:r>
        <w:rPr>
          <w:rFonts w:ascii="맑은 고딕" w:cs="맑은 고딕" w:eastAsia="맑은 고딕" w:hAnsi="맑은 고딕"/>
          <w:b/>
          <w:bCs/>
          <w:color w:val="1A2744"/>
          <w:sz w:val="22"/>
          <w:szCs w:val="22"/>
        </w:rPr>
        <w:t xml:space="preserve">5.  검사 절차  (9단계)</w:t>
      </w:r>
    </w:p>
    <w:p>
      <w:pPr>
        <w:spacing w:after="40" w:before="40" w:line="260"/>
        <w:ind w:left="160"/>
      </w:pPr>
      <w:r>
        <w:rPr>
          <w:rFonts w:ascii="맑은 고딕" w:cs="맑은 고딕" w:eastAsia="맑은 고딕" w:hAnsi="맑은 고딕"/>
          <w:i/>
          <w:iCs/>
          <w:color w:val="4B5563"/>
          <w:sz w:val="17"/>
          <w:szCs w:val="17"/>
        </w:rPr>
        <w:t xml:space="preserve">※  각 단계는 순서대로 진행하며, 기준서 이상 발견 시 검사를 중단하고 SQM팀에 즉시 통보한다.</w:t>
      </w:r>
    </w:p>
    <w:p>
      <w:pPr>
        <w:spacing w:after="0" w:before="0" w:line="60"/>
      </w:pPr>
    </w:p>
    <w:tbl>
      <w:tblPr>
        <w:tblW w:type="dxa" w:w="9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6352"/>
      </w:tblGrid>
      <w:tr>
        <w:trPr>
          <w:trHeight w:val="440" w:hRule="exact"/>
        </w:trPr>
        <w:tc>
          <w:tcPr>
            <w:tcW w:type="dxa" w:w="6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단계</w:t>
            </w:r>
          </w:p>
        </w:tc>
        <w:tc>
          <w:tcPr>
            <w:tcW w:type="dxa" w:w="28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업무</w:t>
            </w:r>
          </w:p>
        </w:tc>
        <w:tc>
          <w:tcPr>
            <w:tcW w:type="dxa" w:w="63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세부 내용</w:t>
            </w:r>
          </w:p>
        </w:tc>
      </w:tr>
      <w:tr>
        <w:trPr>
          <w:trHeight w:val="460" w:hRule="exact"/>
        </w:trPr>
        <w:tc>
          <w:tcPr>
            <w:tcW w:type="dxa" w:w="6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563E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입고 접수</w:t>
            </w:r>
          </w:p>
        </w:tc>
        <w:tc>
          <w:tcPr>
            <w:tcW w:type="dxa" w:w="63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자재 입고 정보(품목번호·수량·거래처) 확인, SAP 입고 전표 확인</w:t>
            </w:r>
          </w:p>
        </w:tc>
      </w:tr>
      <w:tr>
        <w:trPr>
          <w:trHeight w:val="460" w:hRule="exact"/>
        </w:trPr>
        <w:tc>
          <w:tcPr>
            <w:tcW w:type="dxa" w:w="6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563E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성적서·기준서 확인</w:t>
            </w:r>
          </w:p>
        </w:tc>
        <w:tc>
          <w:tcPr>
            <w:tcW w:type="dxa" w:w="63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① SAP에서 기종별 검사성적서 유무 확인
② 성적서 있을 경우: 최신 버전 여부·외관 및 치수 항목 완전성·고객사 기준 부합 여부 내용 검토 → 검토 결과 SAP 특기사항란에 기입
③ 성적서 없을 경우: SQM팀에 즉시 서면 요청 후 검사 보류
④ 기준서 버전·항목 이상 발견 시 SQM팀 서면 요청</w:t>
            </w:r>
          </w:p>
        </w:tc>
      </w:tr>
      <w:tr>
        <w:trPr>
          <w:trHeight w:val="460" w:hRule="exact"/>
        </w:trPr>
        <w:tc>
          <w:tcPr>
            <w:tcW w:type="dxa" w:w="6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563E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샘플 추출</w:t>
            </w:r>
          </w:p>
        </w:tc>
        <w:tc>
          <w:tcPr>
            <w:tcW w:type="dxa" w:w="63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KS Q ISO 2859-1 기준 AQL 샘플링 계획에 따라 검사 샘플 추출. 고객사 기준서에 별도 규정 시 해당 기준 우선 적용</w:t>
            </w:r>
          </w:p>
        </w:tc>
      </w:tr>
      <w:tr>
        <w:trPr>
          <w:trHeight w:val="460" w:hRule="exact"/>
        </w:trPr>
        <w:tc>
          <w:tcPr>
            <w:tcW w:type="dxa" w:w="6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563E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외관 검사</w:t>
            </w:r>
          </w:p>
        </w:tc>
        <w:tc>
          <w:tcPr>
            <w:tcW w:type="dxa" w:w="63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기준서 사진·규격 대비 표면상태·색상·마킹·포장 상태 전수 확인</w:t>
            </w:r>
          </w:p>
        </w:tc>
      </w:tr>
      <w:tr>
        <w:trPr>
          <w:trHeight w:val="460" w:hRule="exact"/>
        </w:trPr>
        <w:tc>
          <w:tcPr>
            <w:tcW w:type="dxa" w:w="6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563E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치수 검사</w:t>
            </w:r>
          </w:p>
        </w:tc>
        <w:tc>
          <w:tcPr>
            <w:tcW w:type="dxa" w:w="63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샘플에 대해 기준서 지정 치수 측정. 측정값 기록 후 규격값과 비교</w:t>
            </w:r>
          </w:p>
        </w:tc>
      </w:tr>
      <w:tr>
        <w:trPr>
          <w:trHeight w:val="460" w:hRule="exact"/>
        </w:trPr>
        <w:tc>
          <w:tcPr>
            <w:tcW w:type="dxa" w:w="6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563E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판정</w:t>
            </w:r>
          </w:p>
        </w:tc>
        <w:tc>
          <w:tcPr>
            <w:tcW w:type="dxa" w:w="63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고객사 기준서 기준으로 합격·불합격 판정. 보류 필요 시 SQM팀 협의 후 결정</w:t>
            </w:r>
          </w:p>
        </w:tc>
      </w:tr>
      <w:tr>
        <w:trPr>
          <w:trHeight w:val="460" w:hRule="exact"/>
        </w:trPr>
        <w:tc>
          <w:tcPr>
            <w:tcW w:type="dxa" w:w="6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563E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결과 기록</w:t>
            </w:r>
          </w:p>
        </w:tc>
        <w:tc>
          <w:tcPr>
            <w:tcW w:type="dxa" w:w="63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① SAP 검사 결과 입력 (합격·불합격·보류)
② 성적서 내용 검토 결과 SAP 특기사항란 기입 (최신 버전 여부·항목 완전성·이상 유무)
③ 일일 입고검사 보고서 업데이트 (검사소요시간·특이사항)</w:t>
            </w:r>
          </w:p>
        </w:tc>
      </w:tr>
      <w:tr>
        <w:trPr>
          <w:trHeight w:val="460" w:hRule="exact"/>
        </w:trPr>
        <w:tc>
          <w:tcPr>
            <w:tcW w:type="dxa" w:w="6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563E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합격품 처리</w:t>
            </w:r>
          </w:p>
        </w:tc>
        <w:tc>
          <w:tcPr>
            <w:tcW w:type="dxa" w:w="63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입고 승인 처리 후 지정 보관 위치로 이송. SAP 재고 반영</w:t>
            </w:r>
          </w:p>
        </w:tc>
      </w:tr>
      <w:tr>
        <w:trPr>
          <w:trHeight w:val="460" w:hRule="exact"/>
        </w:trPr>
        <w:tc>
          <w:tcPr>
            <w:tcW w:type="dxa" w:w="6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563E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부적합품 처리</w:t>
            </w:r>
          </w:p>
        </w:tc>
        <w:tc>
          <w:tcPr>
            <w:tcW w:type="dxa" w:w="63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부적합품 격리 구역(불량품 보관 창고) 이송. 식별 태그 부착 후 SQM팀에 통보. 반품·특채·재작업 여부 결정</w:t>
            </w:r>
          </w:p>
        </w:tc>
      </w:tr>
    </w:tbl>
    <w:p>
      <w:pPr>
        <w:spacing w:after="0" w:before="0" w:line="100"/>
      </w:pPr>
    </w:p>
    <w:p>
      <w:pPr>
        <w:pBdr>
          <w:left w:val="single" w:color="2563EB" w:sz="18"/>
        </w:pBdr>
        <w:spacing w:after="60" w:before="200" w:line="276"/>
        <w:ind w:left="160"/>
      </w:pPr>
      <w:r>
        <w:rPr>
          <w:rFonts w:ascii="맑은 고딕" w:cs="맑은 고딕" w:eastAsia="맑은 고딕" w:hAnsi="맑은 고딕"/>
          <w:b/>
          <w:bCs/>
          <w:color w:val="1A2744"/>
          <w:sz w:val="22"/>
          <w:szCs w:val="22"/>
        </w:rPr>
        <w:t xml:space="preserve">6.  SAP 검사성적서 검토 기준</w:t>
      </w:r>
    </w:p>
    <w:p>
      <w:pPr>
        <w:spacing w:after="40" w:before="40" w:line="260"/>
        <w:ind w:left="160"/>
      </w:pPr>
      <w:r>
        <w:rPr>
          <w:rFonts w:ascii="맑은 고딕" w:cs="맑은 고딕" w:eastAsia="맑은 고딕" w:hAnsi="맑은 고딕"/>
          <w:i/>
          <w:iCs/>
          <w:color w:val="4B5563"/>
          <w:sz w:val="17"/>
          <w:szCs w:val="17"/>
        </w:rPr>
        <w:t xml:space="preserve">※  SAP에서 기종별 검사성적서 유무를 먼저 확인하고, 성적서가 있을 경우 아래 항목을 검토하여 특기사항란에 기입한다.</w:t>
      </w:r>
    </w:p>
    <w:p>
      <w:pPr>
        <w:spacing w:after="0" w:before="0" w:line="60"/>
      </w:pPr>
    </w:p>
    <w:tbl>
      <w:tblPr>
        <w:tblW w:type="dxa" w:w="9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2800"/>
        <w:gridCol w:w="3152"/>
      </w:tblGrid>
      <w:tr>
        <w:trPr>
          <w:trHeight w:val="440" w:hRule="exact"/>
        </w:trPr>
        <w:tc>
          <w:tcPr>
            <w:tcW w:type="dxa" w:w="6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No.</w:t>
            </w:r>
          </w:p>
        </w:tc>
        <w:tc>
          <w:tcPr>
            <w:tcW w:type="dxa" w:w="32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검토 항목</w:t>
            </w:r>
          </w:p>
        </w:tc>
        <w:tc>
          <w:tcPr>
            <w:tcW w:type="dxa" w:w="28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확인 기준</w:t>
            </w:r>
          </w:p>
        </w:tc>
        <w:tc>
          <w:tcPr>
            <w:tcW w:type="dxa" w:w="31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기입 내용 (SAP 특기사항란)</w:t>
            </w:r>
          </w:p>
        </w:tc>
      </w:tr>
      <w:tr>
        <w:trPr>
          <w:trHeight w:val="460" w:hRule="exact"/>
        </w:trPr>
        <w:tc>
          <w:tcPr>
            <w:tcW w:type="dxa" w:w="6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563E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성적서 유무</w:t>
            </w:r>
          </w:p>
        </w:tc>
        <w:tc>
          <w:tcPr>
            <w:tcW w:type="dxa" w:w="28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SAP 기종별 성적서 첨부 여부</w:t>
            </w:r>
          </w:p>
        </w:tc>
        <w:tc>
          <w:tcPr>
            <w:tcW w:type="dxa" w:w="31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유 / 무 (무: SQM팀 서면 요청)</w:t>
            </w:r>
          </w:p>
        </w:tc>
      </w:tr>
      <w:tr>
        <w:trPr>
          <w:trHeight w:val="460" w:hRule="exact"/>
        </w:trPr>
        <w:tc>
          <w:tcPr>
            <w:tcW w:type="dxa" w:w="6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563E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최신 버전 여부</w:t>
            </w:r>
          </w:p>
        </w:tc>
        <w:tc>
          <w:tcPr>
            <w:tcW w:type="dxa" w:w="28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성적서 Rev. 번호와 기준서 Rev. 일치 여부</w:t>
            </w:r>
          </w:p>
        </w:tc>
        <w:tc>
          <w:tcPr>
            <w:tcW w:type="dxa" w:w="31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최신 / 구버전 (구버전: SQM팀 요청)</w:t>
            </w:r>
          </w:p>
        </w:tc>
      </w:tr>
      <w:tr>
        <w:trPr>
          <w:trHeight w:val="460" w:hRule="exact"/>
        </w:trPr>
        <w:tc>
          <w:tcPr>
            <w:tcW w:type="dxa" w:w="6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563E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외관 검사항목 완전성</w:t>
            </w:r>
          </w:p>
        </w:tc>
        <w:tc>
          <w:tcPr>
            <w:tcW w:type="dxa" w:w="28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외관 항목·참조 사진 누락 없이 포함 여부</w:t>
            </w:r>
          </w:p>
        </w:tc>
        <w:tc>
          <w:tcPr>
            <w:tcW w:type="dxa" w:w="31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정상 / 누락 항목명 기재</w:t>
            </w:r>
          </w:p>
        </w:tc>
      </w:tr>
      <w:tr>
        <w:trPr>
          <w:trHeight w:val="460" w:hRule="exact"/>
        </w:trPr>
        <w:tc>
          <w:tcPr>
            <w:tcW w:type="dxa" w:w="6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563E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치수 검사항목 완전성</w:t>
            </w:r>
          </w:p>
        </w:tc>
        <w:tc>
          <w:tcPr>
            <w:tcW w:type="dxa" w:w="28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치수 규격값 전항목 기재 여부</w:t>
            </w:r>
          </w:p>
        </w:tc>
        <w:tc>
          <w:tcPr>
            <w:tcW w:type="dxa" w:w="31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정상 / 누락 항목명 기재</w:t>
            </w:r>
          </w:p>
        </w:tc>
      </w:tr>
      <w:tr>
        <w:trPr>
          <w:trHeight w:val="460" w:hRule="exact"/>
        </w:trPr>
        <w:tc>
          <w:tcPr>
            <w:tcW w:type="dxa" w:w="6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563E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품목번호 일치</w:t>
            </w:r>
          </w:p>
        </w:tc>
        <w:tc>
          <w:tcPr>
            <w:tcW w:type="dxa" w:w="28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성적서 기재 품목번호와 입고 품목 일치 여부</w:t>
            </w:r>
          </w:p>
        </w:tc>
        <w:tc>
          <w:tcPr>
            <w:tcW w:type="dxa" w:w="31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일치 / 불일치 (불일치: 검사 보류)</w:t>
            </w:r>
          </w:p>
        </w:tc>
      </w:tr>
      <w:tr>
        <w:trPr>
          <w:trHeight w:val="460" w:hRule="exact"/>
        </w:trPr>
        <w:tc>
          <w:tcPr>
            <w:tcW w:type="dxa" w:w="6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563E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리비전 이전 품목 해당 여부</w:t>
            </w:r>
          </w:p>
        </w:tc>
        <w:tc>
          <w:tcPr>
            <w:tcW w:type="dxa" w:w="28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개선품 리비전 이전 구버전 품목 여부 확인</w:t>
            </w:r>
          </w:p>
        </w:tc>
        <w:tc>
          <w:tcPr>
            <w:tcW w:type="dxa" w:w="31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해당 없음 / 해당 (구버전 기준서 동시 점검)</w:t>
            </w:r>
          </w:p>
        </w:tc>
      </w:tr>
      <w:tr>
        <w:trPr>
          <w:trHeight w:val="460" w:hRule="exact"/>
        </w:trPr>
        <w:tc>
          <w:tcPr>
            <w:tcW w:type="dxa" w:w="6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563E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종합 검토 의견</w:t>
            </w:r>
          </w:p>
        </w:tc>
        <w:tc>
          <w:tcPr>
            <w:tcW w:type="dxa" w:w="28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위 항목 검토 후 이상 없을 때만 검사 진행</w:t>
            </w:r>
          </w:p>
        </w:tc>
        <w:tc>
          <w:tcPr>
            <w:tcW w:type="dxa" w:w="31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이상 없음 / 이상 내용 구체 기재</w:t>
            </w:r>
          </w:p>
        </w:tc>
      </w:tr>
    </w:tbl>
    <w:p>
      <w:pPr>
        <w:spacing w:after="40" w:before="40" w:line="260"/>
        <w:ind w:left="160"/>
      </w:pPr>
      <w:r>
        <w:rPr>
          <w:rFonts w:ascii="맑은 고딕" w:cs="맑은 고딕" w:eastAsia="맑은 고딕" w:hAnsi="맑은 고딕"/>
          <w:i/>
          <w:iCs/>
          <w:color w:val="4B5563"/>
          <w:sz w:val="17"/>
          <w:szCs w:val="17"/>
        </w:rPr>
        <w:t xml:space="preserve">※  성적서 검토 결과 이상 항목 발견 시 즉시 SQM팀에 서면 통보하고 해당 항목 처리 완료 전까지 검사를 보류한다.</w:t>
      </w:r>
    </w:p>
    <w:p>
      <w:pPr>
        <w:spacing w:after="0" w:before="0" w:line="100"/>
      </w:pPr>
    </w:p>
    <w:p>
      <w:pPr>
        <w:pBdr>
          <w:left w:val="single" w:color="2563EB" w:sz="18"/>
        </w:pBdr>
        <w:spacing w:after="60" w:before="200" w:line="276"/>
        <w:ind w:left="160"/>
      </w:pPr>
      <w:r>
        <w:rPr>
          <w:rFonts w:ascii="맑은 고딕" w:cs="맑은 고딕" w:eastAsia="맑은 고딕" w:hAnsi="맑은 고딕"/>
          <w:b/>
          <w:bCs/>
          <w:color w:val="1A2744"/>
          <w:sz w:val="22"/>
          <w:szCs w:val="22"/>
        </w:rPr>
        <w:t xml:space="preserve">7.  AQL 샘플링 기준</w:t>
      </w:r>
    </w:p>
    <w:p>
      <w:pPr>
        <w:spacing w:after="40" w:before="40" w:line="260"/>
        <w:ind w:left="160"/>
      </w:pPr>
      <w:r>
        <w:rPr>
          <w:rFonts w:ascii="맑은 고딕" w:cs="맑은 고딕" w:eastAsia="맑은 고딕" w:hAnsi="맑은 고딕"/>
          <w:i/>
          <w:iCs/>
          <w:color w:val="4B5563"/>
          <w:sz w:val="17"/>
          <w:szCs w:val="17"/>
        </w:rPr>
        <w:t xml:space="preserve">※  KS Q ISO 2859-1 적용. 고객사 기준서에 별도 규정이 있는 경우 해당 기준을 우선 적용한다.</w:t>
      </w:r>
    </w:p>
    <w:p>
      <w:pPr>
        <w:spacing w:after="0" w:before="0" w:line="60"/>
      </w:pPr>
    </w:p>
    <w:tbl>
      <w:tblPr>
        <w:tblW w:type="dxa" w:w="9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752"/>
      </w:tblGrid>
      <w:tr>
        <w:trPr>
          <w:trHeight w:val="440" w:hRule="exact"/>
        </w:trPr>
        <w:tc>
          <w:tcPr>
            <w:tcW w:type="dxa" w:w="20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로트 크기</w:t>
            </w:r>
          </w:p>
        </w:tc>
        <w:tc>
          <w:tcPr>
            <w:tcW w:type="dxa" w:w="20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샘플 크기</w:t>
            </w:r>
          </w:p>
        </w:tc>
        <w:tc>
          <w:tcPr>
            <w:tcW w:type="dxa" w:w="20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AQL 수준</w:t>
            </w:r>
          </w:p>
        </w:tc>
        <w:tc>
          <w:tcPr>
            <w:tcW w:type="dxa" w:w="37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비  고</w:t>
            </w:r>
          </w:p>
        </w:tc>
      </w:tr>
      <w:tr>
        <w:trPr>
          <w:trHeight w:val="460" w:hRule="exact"/>
        </w:trPr>
        <w:tc>
          <w:tcPr>
            <w:tcW w:type="dxa" w:w="20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2 ~ 50</w:t>
            </w:r>
          </w:p>
        </w:tc>
        <w:tc>
          <w:tcPr>
            <w:tcW w:type="dxa" w:w="20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1.0</w:t>
            </w:r>
          </w:p>
        </w:tc>
        <w:tc>
          <w:tcPr>
            <w:tcW w:type="dxa" w:w="37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고객사 기준서 별도 규정 시 우선 적용</w:t>
            </w:r>
          </w:p>
        </w:tc>
      </w:tr>
      <w:tr>
        <w:trPr>
          <w:trHeight w:val="460" w:hRule="exact"/>
        </w:trPr>
        <w:tc>
          <w:tcPr>
            <w:tcW w:type="dxa" w:w="20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51 ~ 150</w:t>
            </w:r>
          </w:p>
        </w:tc>
        <w:tc>
          <w:tcPr>
            <w:tcW w:type="dxa" w:w="20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13</w:t>
            </w:r>
          </w:p>
        </w:tc>
        <w:tc>
          <w:tcPr>
            <w:tcW w:type="dxa" w:w="20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1.0</w:t>
            </w:r>
          </w:p>
        </w:tc>
        <w:tc>
          <w:tcPr>
            <w:tcW w:type="dxa" w:w="37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-</w:t>
            </w:r>
          </w:p>
        </w:tc>
      </w:tr>
      <w:tr>
        <w:trPr>
          <w:trHeight w:val="460" w:hRule="exact"/>
        </w:trPr>
        <w:tc>
          <w:tcPr>
            <w:tcW w:type="dxa" w:w="20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151 ~ 500</w:t>
            </w:r>
          </w:p>
        </w:tc>
        <w:tc>
          <w:tcPr>
            <w:tcW w:type="dxa" w:w="20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20</w:t>
            </w:r>
          </w:p>
        </w:tc>
        <w:tc>
          <w:tcPr>
            <w:tcW w:type="dxa" w:w="20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1.0</w:t>
            </w:r>
          </w:p>
        </w:tc>
        <w:tc>
          <w:tcPr>
            <w:tcW w:type="dxa" w:w="37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-</w:t>
            </w:r>
          </w:p>
        </w:tc>
      </w:tr>
      <w:tr>
        <w:trPr>
          <w:trHeight w:val="460" w:hRule="exact"/>
        </w:trPr>
        <w:tc>
          <w:tcPr>
            <w:tcW w:type="dxa" w:w="20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501 이상</w:t>
            </w:r>
          </w:p>
        </w:tc>
        <w:tc>
          <w:tcPr>
            <w:tcW w:type="dxa" w:w="20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32</w:t>
            </w:r>
          </w:p>
        </w:tc>
        <w:tc>
          <w:tcPr>
            <w:tcW w:type="dxa" w:w="20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1.0</w:t>
            </w:r>
          </w:p>
        </w:tc>
        <w:tc>
          <w:tcPr>
            <w:tcW w:type="dxa" w:w="37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SQM팀 협의 후 결정</w:t>
            </w:r>
          </w:p>
        </w:tc>
      </w:tr>
    </w:tbl>
    <w:p>
      <w:pPr>
        <w:spacing w:after="0" w:before="0" w:line="100"/>
      </w:pPr>
    </w:p>
    <w:p>
      <w:pPr>
        <w:pBdr>
          <w:left w:val="single" w:color="2563EB" w:sz="18"/>
        </w:pBdr>
        <w:spacing w:after="60" w:before="200" w:line="276"/>
        <w:ind w:left="160"/>
      </w:pPr>
      <w:r>
        <w:rPr>
          <w:rFonts w:ascii="맑은 고딕" w:cs="맑은 고딕" w:eastAsia="맑은 고딕" w:hAnsi="맑은 고딕"/>
          <w:b/>
          <w:bCs/>
          <w:color w:val="1A2744"/>
          <w:sz w:val="22"/>
          <w:szCs w:val="22"/>
        </w:rPr>
        <w:t xml:space="preserve">8.  부적합품 처리 절차</w:t>
      </w:r>
    </w:p>
    <w:p>
      <w:pPr>
        <w:spacing w:after="40" w:before="40" w:line="260"/>
        <w:ind w:left="160"/>
      </w:pPr>
      <w:r>
        <w:rPr>
          <w:rFonts w:ascii="맑은 고딕" w:cs="맑은 고딕" w:eastAsia="맑은 고딕" w:hAnsi="맑은 고딕"/>
          <w:i/>
          <w:iCs/>
          <w:color w:val="4B5563"/>
          <w:sz w:val="17"/>
          <w:szCs w:val="17"/>
        </w:rPr>
        <w:t xml:space="preserve">※  부적합품은 즉시 격리 구역(불량품 보관 창고)으로 이송하고 식별 태그를 부착한 후 아래 절차에 따라 처리한다.</w:t>
      </w:r>
    </w:p>
    <w:p>
      <w:pPr>
        <w:spacing w:after="0" w:before="0" w:line="60"/>
      </w:pPr>
    </w:p>
    <w:tbl>
      <w:tblPr>
        <w:tblW w:type="dxa" w:w="9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152"/>
      </w:tblGrid>
      <w:tr>
        <w:trPr>
          <w:trHeight w:val="440" w:hRule="exact"/>
        </w:trPr>
        <w:tc>
          <w:tcPr>
            <w:tcW w:type="dxa" w:w="16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구  분</w:t>
            </w:r>
          </w:p>
        </w:tc>
        <w:tc>
          <w:tcPr>
            <w:tcW w:type="dxa" w:w="81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처  리  내  용</w:t>
            </w:r>
          </w:p>
        </w:tc>
      </w:tr>
      <w:tr>
        <w:trPr>
          <w:trHeight w:val="460" w:hRule="exact"/>
        </w:trPr>
        <w:tc>
          <w:tcPr>
            <w:tcW w:type="dxa" w:w="16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F1D1D"/>
                <w:sz w:val="20"/>
                <w:szCs w:val="20"/>
              </w:rPr>
              <w:t xml:space="preserve">반  품</w:t>
            </w:r>
          </w:p>
        </w:tc>
        <w:tc>
          <w:tcPr>
            <w:tcW w:type="dxa" w:w="81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부적합 사유 서면 작성 → 공급업체 반품 처리 → SAP 반품 전표 입력</w:t>
            </w:r>
          </w:p>
        </w:tc>
      </w:tr>
      <w:tr>
        <w:trPr>
          <w:trHeight w:val="460" w:hRule="exact"/>
        </w:trPr>
        <w:tc>
          <w:tcPr>
            <w:tcW w:type="dxa" w:w="16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9C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13F12"/>
                <w:sz w:val="20"/>
                <w:szCs w:val="20"/>
              </w:rPr>
              <w:t xml:space="preserve">특  채</w:t>
            </w:r>
          </w:p>
        </w:tc>
        <w:tc>
          <w:tcPr>
            <w:tcW w:type="dxa" w:w="81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고객사 또는 품질책임자 승인 하에 조건부 사용. 특채 사유·조건 SAP 기록</w:t>
            </w:r>
          </w:p>
        </w:tc>
      </w:tr>
      <w:tr>
        <w:trPr>
          <w:trHeight w:val="460" w:hRule="exact"/>
        </w:trPr>
        <w:tc>
          <w:tcPr>
            <w:tcW w:type="dxa" w:w="16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재  작  업</w:t>
            </w:r>
          </w:p>
        </w:tc>
        <w:tc>
          <w:tcPr>
            <w:tcW w:type="dxa" w:w="81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재작업 가능 여부 검토 후 재검사 실시. 재검사 결과 SAP 재입력</w:t>
            </w:r>
          </w:p>
        </w:tc>
      </w:tr>
      <w:tr>
        <w:trPr>
          <w:trHeight w:val="460" w:hRule="exact"/>
        </w:trPr>
        <w:tc>
          <w:tcPr>
            <w:tcW w:type="dxa" w:w="16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64748B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폐  기</w:t>
            </w:r>
          </w:p>
        </w:tc>
        <w:tc>
          <w:tcPr>
            <w:tcW w:type="dxa" w:w="81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사용 불가 판정 시 폐기 처리. 폐기 확인서 작성 후 보관</w:t>
            </w:r>
          </w:p>
        </w:tc>
      </w:tr>
    </w:tbl>
    <w:p>
      <w:pPr>
        <w:spacing w:after="0" w:before="0" w:line="100"/>
      </w:pPr>
    </w:p>
    <w:p>
      <w:pPr>
        <w:pBdr>
          <w:left w:val="single" w:color="2563EB" w:sz="18"/>
        </w:pBdr>
        <w:spacing w:after="60" w:before="200" w:line="276"/>
        <w:ind w:left="160"/>
      </w:pPr>
      <w:r>
        <w:rPr>
          <w:rFonts w:ascii="맑은 고딕" w:cs="맑은 고딕" w:eastAsia="맑은 고딕" w:hAnsi="맑은 고딕"/>
          <w:b/>
          <w:bCs/>
          <w:color w:val="1A2744"/>
          <w:sz w:val="22"/>
          <w:szCs w:val="22"/>
        </w:rPr>
        <w:t xml:space="preserve">9.  검사기준서 관리</w:t>
      </w:r>
    </w:p>
    <w:p>
      <w:pPr>
        <w:spacing w:after="40" w:before="40" w:line="260"/>
        <w:ind w:left="160"/>
      </w:pPr>
      <w:r>
        <w:rPr>
          <w:rFonts w:ascii="맑은 고딕" w:cs="맑은 고딕" w:eastAsia="맑은 고딕" w:hAnsi="맑은 고딕"/>
          <w:i/>
          <w:iCs/>
          <w:color w:val="4B5563"/>
          <w:sz w:val="17"/>
          <w:szCs w:val="17"/>
        </w:rPr>
        <w:t xml:space="preserve">※  단종·리비전 이전 품목도 반드시 분기 점검 대상에 포함한다. (본 절차의 핵심 관리 항목)</w:t>
      </w:r>
    </w:p>
    <w:p>
      <w:pPr>
        <w:spacing w:after="0" w:before="0" w:line="60"/>
      </w:pPr>
    </w:p>
    <w:tbl>
      <w:tblPr>
        <w:tblW w:type="dxa" w:w="9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76"/>
        <w:gridCol w:w="3876"/>
      </w:tblGrid>
      <w:tr>
        <w:trPr>
          <w:trHeight w:val="440" w:hRule="exact"/>
        </w:trPr>
        <w:tc>
          <w:tcPr>
            <w:tcW w:type="dxa" w:w="20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구  분</w:t>
            </w:r>
          </w:p>
        </w:tc>
        <w:tc>
          <w:tcPr>
            <w:tcW w:type="dxa" w:w="3876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관  리  내  용</w:t>
            </w:r>
          </w:p>
        </w:tc>
        <w:tc>
          <w:tcPr>
            <w:tcW w:type="dxa" w:w="3876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주  기  /  담  당</w:t>
            </w:r>
          </w:p>
        </w:tc>
      </w:tr>
      <w:tr>
        <w:trPr>
          <w:trHeight w:val="460" w:hRule="exact"/>
        </w:trPr>
        <w:tc>
          <w:tcPr>
            <w:tcW w:type="dxa" w:w="20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입고 시</w:t>
            </w:r>
          </w:p>
        </w:tc>
        <w:tc>
          <w:tcPr>
            <w:tcW w:type="dxa" w:w="3876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해당 품목 기준서 버전 확인·출력</w:t>
            </w:r>
          </w:p>
        </w:tc>
        <w:tc>
          <w:tcPr>
            <w:tcW w:type="dxa" w:w="3876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매 입고 시 / 검사 담당자</w:t>
            </w:r>
          </w:p>
        </w:tc>
      </w:tr>
      <w:tr>
        <w:trPr>
          <w:trHeight w:val="460" w:hRule="exact"/>
        </w:trPr>
        <w:tc>
          <w:tcPr>
            <w:tcW w:type="dxa" w:w="20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정기 점검</w:t>
            </w:r>
          </w:p>
        </w:tc>
        <w:tc>
          <w:tcPr>
            <w:tcW w:type="dxa" w:w="3876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단종·리비전 이전 품목 포함 전체 기준서 최신화 확인</w:t>
            </w:r>
          </w:p>
        </w:tc>
        <w:tc>
          <w:tcPr>
            <w:tcW w:type="dxa" w:w="3876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분기 1회 / 검사 담당자</w:t>
            </w:r>
          </w:p>
        </w:tc>
      </w:tr>
      <w:tr>
        <w:trPr>
          <w:trHeight w:val="460" w:hRule="exact"/>
        </w:trPr>
        <w:tc>
          <w:tcPr>
            <w:tcW w:type="dxa" w:w="20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리비전 발생 시</w:t>
            </w:r>
          </w:p>
        </w:tc>
        <w:tc>
          <w:tcPr>
            <w:tcW w:type="dxa" w:w="3876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구버전 기준서 동시 점검 의무화. 누락 발견 시 SQM팀 서면 요청</w:t>
            </w:r>
          </w:p>
        </w:tc>
        <w:tc>
          <w:tcPr>
            <w:tcW w:type="dxa" w:w="3876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즉시 / 검사 담당자</w:t>
            </w:r>
          </w:p>
        </w:tc>
      </w:tr>
      <w:tr>
        <w:trPr>
          <w:trHeight w:val="460" w:hRule="exact"/>
        </w:trPr>
        <w:tc>
          <w:tcPr>
            <w:tcW w:type="dxa" w:w="20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보고</w:t>
            </w:r>
          </w:p>
        </w:tc>
        <w:tc>
          <w:tcPr>
            <w:tcW w:type="dxa" w:w="3876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분기 점검 결과 SQM팀 정기 보고</w:t>
            </w:r>
          </w:p>
        </w:tc>
        <w:tc>
          <w:tcPr>
            <w:tcW w:type="dxa" w:w="3876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매 분기 말 / 검사 담당자</w:t>
            </w:r>
          </w:p>
        </w:tc>
      </w:tr>
    </w:tbl>
    <w:p>
      <w:pPr>
        <w:spacing w:after="0" w:before="0" w:line="100"/>
      </w:pPr>
    </w:p>
    <w:p>
      <w:pPr>
        <w:pBdr>
          <w:left w:val="single" w:color="2563EB" w:sz="18"/>
        </w:pBdr>
        <w:spacing w:after="60" w:before="200" w:line="276"/>
        <w:ind w:left="160"/>
      </w:pPr>
      <w:r>
        <w:rPr>
          <w:rFonts w:ascii="맑은 고딕" w:cs="맑은 고딕" w:eastAsia="맑은 고딕" w:hAnsi="맑은 고딕"/>
          <w:b/>
          <w:bCs/>
          <w:color w:val="1A2744"/>
          <w:sz w:val="22"/>
          <w:szCs w:val="22"/>
        </w:rPr>
        <w:t xml:space="preserve">10.  기록 및 보고</w:t>
      </w:r>
    </w:p>
    <w:p>
      <w:pPr>
        <w:spacing w:after="60" w:before="60" w:line="300"/>
        <w:ind/>
      </w:pPr>
      <w:r>
        <w:rPr>
          <w:rFonts w:ascii="맑은 고딕" w:cs="맑은 고딕" w:eastAsia="맑은 고딕" w:hAnsi="맑은 고딕"/>
          <w:b w:val="false"/>
          <w:bCs w:val="false"/>
          <w:color w:val="1A2744"/>
          <w:sz w:val="20"/>
          <w:szCs w:val="20"/>
        </w:rPr>
        <w:t xml:space="preserve">검사 결과는 아래 방식으로 기록·보관한다.</w:t>
      </w:r>
    </w:p>
    <w:p>
      <w:pPr>
        <w:spacing w:after="40" w:before="40" w:line="280"/>
        <w:ind w:left="400" w:hanging="200"/>
      </w:pPr>
      <w:r>
        <w:rPr>
          <w:rFonts w:ascii="맑은 고딕" w:cs="맑은 고딕" w:eastAsia="맑은 고딕" w:hAnsi="맑은 고딕"/>
          <w:b/>
          <w:bCs/>
          <w:color w:val="2563EB"/>
          <w:sz w:val="20"/>
          <w:szCs w:val="20"/>
        </w:rPr>
        <w:t xml:space="preserve">•  </w:t>
      </w:r>
      <w:r>
        <w:rPr>
          <w:rFonts w:ascii="맑은 고딕" w:cs="맑은 고딕" w:eastAsia="맑은 고딕" w:hAnsi="맑은 고딕"/>
          <w:color w:val="1A2744"/>
          <w:sz w:val="20"/>
          <w:szCs w:val="20"/>
        </w:rPr>
        <w:t xml:space="preserve">SAP QM 모듈에 검사 결과 즉시 입력 및 성적서 검토 결과 특기사항란 기입</w:t>
      </w:r>
    </w:p>
    <w:p>
      <w:pPr>
        <w:spacing w:after="40" w:before="40" w:line="280"/>
        <w:ind w:left="400" w:hanging="200"/>
      </w:pPr>
      <w:r>
        <w:rPr>
          <w:rFonts w:ascii="맑은 고딕" w:cs="맑은 고딕" w:eastAsia="맑은 고딕" w:hAnsi="맑은 고딕"/>
          <w:b/>
          <w:bCs/>
          <w:color w:val="2563EB"/>
          <w:sz w:val="20"/>
          <w:szCs w:val="20"/>
        </w:rPr>
        <w:t xml:space="preserve">•  </w:t>
      </w:r>
      <w:r>
        <w:rPr>
          <w:rFonts w:ascii="맑은 고딕" w:cs="맑은 고딕" w:eastAsia="맑은 고딕" w:hAnsi="맑은 고딕"/>
          <w:color w:val="1A2744"/>
          <w:sz w:val="20"/>
          <w:szCs w:val="20"/>
        </w:rPr>
        <w:t xml:space="preserve">수입검사 일일 보고서 — 입고품 검사소요시간·특이사항 매일 업데이트</w:t>
      </w:r>
    </w:p>
    <w:p>
      <w:pPr>
        <w:spacing w:after="40" w:before="40" w:line="280"/>
        <w:ind w:left="400" w:hanging="200"/>
      </w:pPr>
      <w:r>
        <w:rPr>
          <w:rFonts w:ascii="맑은 고딕" w:cs="맑은 고딕" w:eastAsia="맑은 고딕" w:hAnsi="맑은 고딕"/>
          <w:b/>
          <w:bCs/>
          <w:color w:val="2563EB"/>
          <w:sz w:val="20"/>
          <w:szCs w:val="20"/>
        </w:rPr>
        <w:t xml:space="preserve">•  </w:t>
      </w:r>
      <w:r>
        <w:rPr>
          <w:rFonts w:ascii="맑은 고딕" w:cs="맑은 고딕" w:eastAsia="맑은 고딕" w:hAnsi="맑은 고딕"/>
          <w:color w:val="1A2744"/>
          <w:sz w:val="20"/>
          <w:szCs w:val="20"/>
        </w:rPr>
        <w:t xml:space="preserve">측정의뢰 현황표 — 의뢰일·완료일·소요시간·결과 별도 기록</w:t>
      </w:r>
    </w:p>
    <w:p>
      <w:pPr>
        <w:spacing w:after="40" w:before="40" w:line="280"/>
        <w:ind w:left="400" w:hanging="200"/>
      </w:pPr>
      <w:r>
        <w:rPr>
          <w:rFonts w:ascii="맑은 고딕" w:cs="맑은 고딕" w:eastAsia="맑은 고딕" w:hAnsi="맑은 고딕"/>
          <w:b/>
          <w:bCs/>
          <w:color w:val="2563EB"/>
          <w:sz w:val="20"/>
          <w:szCs w:val="20"/>
        </w:rPr>
        <w:t xml:space="preserve">•  </w:t>
      </w:r>
      <w:r>
        <w:rPr>
          <w:rFonts w:ascii="맑은 고딕" w:cs="맑은 고딕" w:eastAsia="맑은 고딕" w:hAnsi="맑은 고딕"/>
          <w:color w:val="1A2744"/>
          <w:sz w:val="20"/>
          <w:szCs w:val="20"/>
        </w:rPr>
        <w:t xml:space="preserve">분기 점검 결과 — 매 분기 말 SQM팀 정기 보고</w:t>
      </w:r>
    </w:p>
    <w:p>
      <w:pPr>
        <w:spacing w:after="40" w:before="40" w:line="280"/>
        <w:ind w:left="400" w:hanging="200"/>
      </w:pPr>
      <w:r>
        <w:rPr>
          <w:rFonts w:ascii="맑은 고딕" w:cs="맑은 고딕" w:eastAsia="맑은 고딕" w:hAnsi="맑은 고딕"/>
          <w:b/>
          <w:bCs/>
          <w:color w:val="2563EB"/>
          <w:sz w:val="20"/>
          <w:szCs w:val="20"/>
        </w:rPr>
        <w:t xml:space="preserve">•  </w:t>
      </w:r>
      <w:r>
        <w:rPr>
          <w:rFonts w:ascii="맑은 고딕" w:cs="맑은 고딕" w:eastAsia="맑은 고딕" w:hAnsi="맑은 고딕"/>
          <w:color w:val="1A2744"/>
          <w:sz w:val="20"/>
          <w:szCs w:val="20"/>
        </w:rPr>
        <w:t xml:space="preserve">기록 보관 기간: 3년 (고객사 요구사항 별도 규정 시 우선 적용)</w:t>
      </w:r>
    </w:p>
    <w:p>
      <w:pPr>
        <w:spacing w:after="0" w:before="0" w:line="100"/>
      </w:pPr>
    </w:p>
    <w:p>
      <w:pPr>
        <w:pBdr>
          <w:left w:val="single" w:color="2563EB" w:sz="18"/>
        </w:pBdr>
        <w:spacing w:after="60" w:before="200" w:line="276"/>
        <w:ind w:left="160"/>
      </w:pPr>
      <w:r>
        <w:rPr>
          <w:rFonts w:ascii="맑은 고딕" w:cs="맑은 고딕" w:eastAsia="맑은 고딕" w:hAnsi="맑은 고딕"/>
          <w:b/>
          <w:bCs/>
          <w:color w:val="1A2744"/>
          <w:sz w:val="22"/>
          <w:szCs w:val="22"/>
        </w:rPr>
        <w:t xml:space="preserve">11.  관련 문서 및 양식</w:t>
      </w:r>
    </w:p>
    <w:tbl>
      <w:tblPr>
        <w:tblW w:type="dxa" w:w="9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52"/>
      </w:tblGrid>
      <w:tr>
        <w:trPr>
          <w:trHeight w:val="440" w:hRule="exact"/>
        </w:trPr>
        <w:tc>
          <w:tcPr>
            <w:tcW w:type="dxa" w:w="30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문서·양식명</w:t>
            </w:r>
          </w:p>
        </w:tc>
        <w:tc>
          <w:tcPr>
            <w:tcW w:type="dxa" w:w="67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용  도</w:t>
            </w:r>
          </w:p>
        </w:tc>
      </w:tr>
      <w:tr>
        <w:trPr>
          <w:trHeight w:val="460" w:hRule="exact"/>
        </w:trPr>
        <w:tc>
          <w:tcPr>
            <w:tcW w:type="dxa" w:w="30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수입검사 업무일지</w:t>
            </w:r>
          </w:p>
        </w:tc>
        <w:tc>
          <w:tcPr>
            <w:tcW w:type="dxa" w:w="67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입고품 검사 결과 기록 (INS-QC-FORM-001)</w:t>
            </w:r>
          </w:p>
        </w:tc>
      </w:tr>
      <w:tr>
        <w:trPr>
          <w:trHeight w:val="460" w:hRule="exact"/>
        </w:trPr>
        <w:tc>
          <w:tcPr>
            <w:tcW w:type="dxa" w:w="30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수입검사 일일 보고서</w:t>
            </w:r>
          </w:p>
        </w:tc>
        <w:tc>
          <w:tcPr>
            <w:tcW w:type="dxa" w:w="67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입고품 검사소요시간·특이사항 데일리 기록 (INS-QC-FORM-002)</w:t>
            </w:r>
          </w:p>
        </w:tc>
      </w:tr>
      <w:tr>
        <w:trPr>
          <w:trHeight w:val="460" w:hRule="exact"/>
        </w:trPr>
        <w:tc>
          <w:tcPr>
            <w:tcW w:type="dxa" w:w="30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측정의뢰 현황표</w:t>
            </w:r>
          </w:p>
        </w:tc>
        <w:tc>
          <w:tcPr>
            <w:tcW w:type="dxa" w:w="67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측정의뢰 건 의뢰일·완료일·소요시간·결과 기록 (INS-QC-FORM-003)</w:t>
            </w:r>
          </w:p>
        </w:tc>
      </w:tr>
      <w:tr>
        <w:trPr>
          <w:trHeight w:val="460" w:hRule="exact"/>
        </w:trPr>
        <w:tc>
          <w:tcPr>
            <w:tcW w:type="dxa" w:w="30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부적합품 처리보고서</w:t>
            </w:r>
          </w:p>
        </w:tc>
        <w:tc>
          <w:tcPr>
            <w:tcW w:type="dxa" w:w="67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부적합품 발생·처리 이력 기록 (INS-QC-FORM-004)</w:t>
            </w:r>
          </w:p>
        </w:tc>
      </w:tr>
      <w:tr>
        <w:trPr>
          <w:trHeight w:val="460" w:hRule="exact"/>
        </w:trPr>
        <w:tc>
          <w:tcPr>
            <w:tcW w:type="dxa" w:w="30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SAP 검사 입력 화면</w:t>
            </w:r>
          </w:p>
        </w:tc>
        <w:tc>
          <w:tcPr>
            <w:tcW w:type="dxa" w:w="67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검사 결과 ERP 등록 (SAP QM 모듈)</w:t>
            </w:r>
          </w:p>
        </w:tc>
      </w:tr>
      <w:tr>
        <w:trPr>
          <w:trHeight w:val="460" w:hRule="exact"/>
        </w:trPr>
        <w:tc>
          <w:tcPr>
            <w:tcW w:type="dxa" w:w="30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셰플러 검사기준서</w:t>
            </w:r>
          </w:p>
        </w:tc>
        <w:tc>
          <w:tcPr>
            <w:tcW w:type="dxa" w:w="67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고객사 제공 품목별 검사규격·판정기준서 (SQM팀 관리)</w:t>
            </w:r>
          </w:p>
        </w:tc>
      </w:tr>
    </w:tbl>
    <w:p>
      <w:pPr>
        <w:spacing w:after="0" w:before="0" w:line="100"/>
      </w:pPr>
    </w:p>
    <w:p>
      <w:pPr>
        <w:pBdr>
          <w:left w:val="single" w:color="2563EB" w:sz="18"/>
        </w:pBdr>
        <w:spacing w:after="60" w:before="200" w:line="276"/>
        <w:ind w:left="160"/>
      </w:pPr>
      <w:r>
        <w:rPr>
          <w:rFonts w:ascii="맑은 고딕" w:cs="맑은 고딕" w:eastAsia="맑은 고딕" w:hAnsi="맑은 고딕"/>
          <w:b/>
          <w:bCs/>
          <w:color w:val="1A2744"/>
          <w:sz w:val="22"/>
          <w:szCs w:val="22"/>
        </w:rPr>
        <w:t xml:space="preserve">12.  개정 이력</w:t>
      </w:r>
    </w:p>
    <w:tbl>
      <w:tblPr>
        <w:tblW w:type="dxa" w:w="9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000"/>
        <w:gridCol w:w="4752"/>
      </w:tblGrid>
      <w:tr>
        <w:trPr>
          <w:trHeight w:val="440" w:hRule="exact"/>
        </w:trPr>
        <w:tc>
          <w:tcPr>
            <w:tcW w:type="dxa" w:w="12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Rev.</w:t>
            </w:r>
          </w:p>
        </w:tc>
        <w:tc>
          <w:tcPr>
            <w:tcW w:type="dxa" w:w="18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개정일</w:t>
            </w:r>
          </w:p>
        </w:tc>
        <w:tc>
          <w:tcPr>
            <w:tcW w:type="dxa" w:w="20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개정자</w:t>
            </w:r>
          </w:p>
        </w:tc>
        <w:tc>
          <w:tcPr>
            <w:tcW w:type="dxa" w:w="47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개정 내용</w:t>
            </w:r>
          </w:p>
        </w:tc>
      </w:tr>
      <w:tr>
        <w:trPr>
          <w:trHeight w:val="460" w:hRule="exact"/>
        </w:trPr>
        <w:tc>
          <w:tcPr>
            <w:tcW w:type="dxa" w:w="12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2026.07.31</w:t>
            </w:r>
          </w:p>
        </w:tc>
        <w:tc>
          <w:tcPr>
            <w:tcW w:type="dxa" w:w="20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김종선</w:t>
            </w:r>
          </w:p>
        </w:tc>
        <w:tc>
          <w:tcPr>
            <w:tcW w:type="dxa" w:w="47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초판 제정</w:t>
            </w:r>
          </w:p>
        </w:tc>
      </w:tr>
      <w:tr>
        <w:trPr>
          <w:trHeight w:val="460" w:hRule="exact"/>
        </w:trPr>
        <w:tc>
          <w:tcPr>
            <w:tcW w:type="dxa" w:w="12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47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</w:tr>
      <w:tr>
        <w:trPr>
          <w:trHeight w:val="460" w:hRule="exact"/>
        </w:trPr>
        <w:tc>
          <w:tcPr>
            <w:tcW w:type="dxa" w:w="12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47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 w:line="80"/>
      </w:pPr>
    </w:p>
    <w:p>
      <w:pPr>
        <w:spacing w:after="0" w:before="60" w:line="240"/>
        <w:jc w:val="right"/>
      </w:pPr>
      <w:r>
        <w:rPr>
          <w:rFonts w:ascii="맑은 고딕" w:cs="맑은 고딕" w:eastAsia="맑은 고딕" w:hAnsi="맑은 고딕"/>
          <w:i/>
          <w:iCs/>
          <w:color w:val="4B5563"/>
          <w:sz w:val="15"/>
          <w:szCs w:val="15"/>
        </w:rPr>
        <w:t xml:space="preserve">본 절차서는 (주)인시스 품질관리 규정에 의거하여 작성된 공식 문서입니다.  INS-QC-SOP-001  Rev.0</w:t>
      </w:r>
    </w:p>
    <w:sectPr>
      <w:pgSz w:w="11906" w:h="16838" w:orient="portrait"/>
      <w:pgMar w:top="1304" w:right="907" w:bottom="1020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2026-07-31T10:45:56.786Z</dcterms:created>
  <dcterms:modified xsi:type="dcterms:W3CDTF">2026-07-31T10:45:56.796Z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