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개발비용 산출서</w:t>
      </w:r>
    </w:p>
    <w:p>
      <w:pPr>
        <w:spacing w:after="50" w:before="0"/>
        <w:jc w:val="center"/>
      </w:pPr>
      <w:r>
        <w:rPr>
          <w:rFonts w:ascii="맑은 고딕" w:cs="맑은 고딕" w:eastAsia="맑은 고딕" w:hAnsi="맑은 고딕"/>
          <w:b/>
          <w:bCs/>
          <w:color w:val="2E4D8A"/>
          <w:sz w:val="26"/>
          <w:szCs w:val="26"/>
        </w:rPr>
        <w:t xml:space="preserve">위너콤 딥러닝 비전검사기 (1호기 · 검증 전용)</w:t>
      </w:r>
    </w:p>
    <w:p>
      <w:pPr>
        <w:spacing w:after="170" w:before="0"/>
        <w:jc w:val="center"/>
      </w:pPr>
      <w:r>
        <w:rPr>
          <w:rFonts w:ascii="맑은 고딕" w:cs="맑은 고딕" w:eastAsia="맑은 고딕" w:hAnsi="맑은 고딕"/>
          <w:color w:val="888888"/>
          <w:sz w:val="19"/>
          <w:szCs w:val="19"/>
        </w:rPr>
        <w:t xml:space="preserve">자동화 기능 제외 — 딥러닝 검출력 검증 최소 구성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7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작성일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2026년 7월 20일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작성부서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인시스 AI혁신 R&amp;D센터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대상 설비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자동차용 샤크 안테나 PCB 딥러닝 비전검사기 (1호기)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제작 목적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딥러닝 양불 판정 검출력 검증 (검사원 대비 성능 확인)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적용 조건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투입·배출·스캔 수작업 / 검사 기능만 구현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버전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v4.0 (검증 전용, 자동화 제외)</w:t>
            </w:r>
          </w:p>
        </w:tc>
      </w:tr>
    </w:tbl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제작 방침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본 1호기는 딥러닝 검출력을 조기에 검증하기 위한 시범 적용용 설비입니다. 투입·배출·바코드 스캔 등 물류·자동화 기능을 배제하고, 카메라·조명·딥러닝 판정 등 검사 핵심 기능만 구현하여 제작 비용과 기간을 최소화합니다.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1-1. 제외 항목 (자동화 부분)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제외 품목</w:t>
            </w:r>
          </w:p>
        </w:tc>
        <w:tc>
          <w:tcPr>
            <w:tcW w:type="dxa" w:w="3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대체 방식</w:t>
            </w:r>
          </w:p>
        </w:tc>
        <w:tc>
          <w:tcPr>
            <w:tcW w:type="dxa" w:w="39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제외 사유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투입·배출 컨베어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수작업 투입·배출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물류 자동화 불필요 (검증 목적)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이송 구동부(서보·벨트)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수동 위치 이동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이송 자동화 불필요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양불 자동 분리 기구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수작업 분류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판정 결과 확인이 목적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고정식 바코드 스캐너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수작업 스캔(핸디)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이력 관리는 검증 후 단계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PLC·모션 제어반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최소 제어만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자동 시퀀스 불필요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1-2. 유지 항목 (검사 핵심)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딥러닝 SW 라이선스·PC — 검출 성능의 핵심, 사양 유지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산업용 카메라·렌즈 — 이미지 획득 품질 직결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조명(돔·측면) — 표면 결함 가시화, 검출력의 핵심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검사 지그 — 제품 정위치·바코드 상향 고정 (검사 조건 일관성 확보)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원가 내역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2-1. SW 라이선스 및 PC (사양 유지)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딥러닝 비전 SW 라이선스</w:t>
            </w:r>
          </w:p>
        </w:tc>
        <w:tc>
          <w:tcPr>
            <w:tcW w:type="dxa" w:w="31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Cognex ViDi / MVTec HALCON 급</w:t>
            </w:r>
          </w:p>
        </w:tc>
        <w:tc>
          <w:tcPr>
            <w:tcW w:type="dxa" w:w="7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25,000,000</w:t>
            </w:r>
          </w:p>
        </w:tc>
        <w:tc>
          <w:tcPr>
            <w:tcW w:type="dxa" w:w="17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25,000,000</w:t>
            </w:r>
          </w:p>
        </w:tc>
      </w:tr>
      <w:tr>
        <w:tc>
          <w:tcPr>
            <w:tcW w:type="dxa" w:w="2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런타임 라이선스</w:t>
            </w:r>
          </w:p>
        </w:tc>
        <w:tc>
          <w:tcPr>
            <w:tcW w:type="dxa" w:w="31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검사기 탑재용</w:t>
            </w:r>
          </w:p>
        </w:tc>
        <w:tc>
          <w:tcPr>
            <w:tcW w:type="dxa" w:w="7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4,000,000</w:t>
            </w:r>
          </w:p>
        </w:tc>
        <w:tc>
          <w:tcPr>
            <w:tcW w:type="dxa" w:w="17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4,000,000</w:t>
            </w:r>
          </w:p>
        </w:tc>
      </w:tr>
      <w:tr>
        <w:tc>
          <w:tcPr>
            <w:tcW w:type="dxa" w:w="2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GPU 산업용 PC</w:t>
            </w:r>
          </w:p>
        </w:tc>
        <w:tc>
          <w:tcPr>
            <w:tcW w:type="dxa" w:w="31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i7급 + RTX A2000/4060 급</w:t>
            </w:r>
          </w:p>
        </w:tc>
        <w:tc>
          <w:tcPr>
            <w:tcW w:type="dxa" w:w="7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4,500,000</w:t>
            </w:r>
          </w:p>
        </w:tc>
        <w:tc>
          <w:tcPr>
            <w:tcW w:type="dxa" w:w="17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4,500,000</w:t>
            </w:r>
          </w:p>
        </w:tc>
      </w:tr>
      <w:tr>
        <w:tc>
          <w:tcPr>
            <w:tcW w:type="dxa" w:w="2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21인치 모니터</w:t>
            </w:r>
          </w:p>
        </w:tc>
        <w:tc>
          <w:tcPr>
            <w:tcW w:type="dxa" w:w="31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암 마운트 포함</w:t>
            </w:r>
          </w:p>
        </w:tc>
        <w:tc>
          <w:tcPr>
            <w:tcW w:type="dxa" w:w="7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1,000,000</w:t>
            </w:r>
          </w:p>
        </w:tc>
        <w:tc>
          <w:tcPr>
            <w:tcW w:type="dxa" w:w="17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1,000,000</w:t>
            </w:r>
          </w:p>
        </w:tc>
      </w:tr>
      <w:tr>
        <w:tc>
          <w:tcPr>
            <w:tcW w:type="dxa" w:w="2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OS·유틸리티</w:t>
            </w:r>
          </w:p>
        </w:tc>
        <w:tc>
          <w:tcPr>
            <w:tcW w:type="dxa" w:w="31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Windows IoT</w:t>
            </w:r>
          </w:p>
        </w:tc>
        <w:tc>
          <w:tcPr>
            <w:tcW w:type="dxa" w:w="7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500,000</w:t>
            </w:r>
          </w:p>
        </w:tc>
        <w:tc>
          <w:tcPr>
            <w:tcW w:type="dxa" w:w="17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500,000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35,000,000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검출 성능에 직결되는 핵심 자산으로 사양을 유지합니다. (본 산출서에서 유일한 고정 비용)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2-2. 비전 하드웨어 (검사 핵심)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산업용 카메라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500만 화소 GigE (상부 1대)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1,600,000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1,600,000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고정초점 렌즈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검사 대상 맞춤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돔 조명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확산형 (형상·Edge 검출)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1,300,000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1,300,000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측면 바 조명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표면 결함 보조 검출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600,000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조명 컨트롤러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2채널 디밍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케이블·마운트류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5,700,000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2-3. 기구 구성품 (최소 구성)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알루미늄 프레임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3030 프로파일, 검사대 구조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1,200,000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검사 지그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제품 정위치·바코드 상향 고정형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1,500,000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카메라·조명 마운트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위치 조정 브라켓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안전 커버·차광 박스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외부광 차단 (검사 정확도용)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900,000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900,000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가공·조립비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5,200,000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컨베어·이송·분리 기구 전량 제외. 제품은 검사원이 지그에 수작업 안착.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2-4. 전장·제어 (최소)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전원부·배선 자재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조명·카메라·PC 전원 공급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조작 스위치·표시등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시작/판정 표시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전장 조립·배선 공수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1,600,000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PLC·서보 드라이버·모션 제어반 제외 (자동 시퀀스 불필요).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2-5. 개발 인건비 (검사 SW 중심, 20 M/D)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투입 인력</w:t>
            </w:r>
          </w:p>
        </w:tc>
        <w:tc>
          <w:tcPr>
            <w:tcW w:type="dxa" w:w="1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일단가(원)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M/D</w:t>
            </w:r>
          </w:p>
        </w:tc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2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수행 범위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AI/딥러닝 엔지니어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450,000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9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4,050,000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모델 학습·튜닝 (핵심)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비전 SW 개발자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350,000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1,750,000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검사 로직·판정 UI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기구 설계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320,000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960,000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검사대·지그 설계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설치·시운전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280,000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840,000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현장 설치·시범 세팅</w:t>
            </w:r>
          </w:p>
        </w:tc>
      </w:tr>
      <w:tr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1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20</w:t>
            </w:r>
          </w:p>
        </w:tc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7,600,000</w:t>
            </w:r>
          </w:p>
        </w:tc>
        <w:tc>
          <w:tcPr>
            <w:tcW w:type="dxa" w:w="32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자동화 제어 개발(PLC·모션) 제외. 딥러닝 모델 개발에 집중.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총 원가 및 판매가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3-1. 총 원가 집계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4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2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비중</w:t>
            </w:r>
          </w:p>
        </w:tc>
      </w:tr>
      <w:tr>
        <w:tc>
          <w:tcPr>
            <w:tcW w:type="dxa" w:w="10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2-1</w:t>
            </w:r>
          </w:p>
        </w:tc>
        <w:tc>
          <w:tcPr>
            <w:tcW w:type="dxa" w:w="45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SW 라이선스·PC (고정)</w:t>
            </w:r>
          </w:p>
        </w:tc>
        <w:tc>
          <w:tcPr>
            <w:tcW w:type="dxa" w:w="22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35,000,000</w:t>
            </w:r>
          </w:p>
        </w:tc>
        <w:tc>
          <w:tcPr>
            <w:tcW w:type="dxa" w:w="20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92400E"/>
                <w:sz w:val="19"/>
                <w:szCs w:val="19"/>
              </w:rPr>
              <w:t xml:space="preserve">66.9%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2-2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비전 하드웨어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5,700,000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10.9%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2-3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기구 (최소)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5,200,000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9.9%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2-4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전장·제어 (최소)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1,600,000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3.1%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2-5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개발 인건비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7,600,000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14.5%</w:t>
            </w:r>
          </w:p>
        </w:tc>
      </w:tr>
      <w:tr>
        <w:tc>
          <w:tcPr>
            <w:tcW w:type="dxa" w:w="1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직접 원가 계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55,100,000</w:t>
            </w:r>
          </w:p>
        </w:tc>
        <w:tc>
          <w:tcPr>
            <w:tcW w:type="dxa" w:w="2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105.3%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-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예비비 (약 2%)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1,100,000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2.1%</w:t>
            </w:r>
          </w:p>
        </w:tc>
      </w:tr>
      <w:tr>
        <w:tc>
          <w:tcPr>
            <w:tcW w:type="dxa" w:w="1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총 제조원가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52,320,000</w:t>
            </w:r>
          </w:p>
        </w:tc>
        <w:tc>
          <w:tcPr>
            <w:tcW w:type="dxa" w:w="2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직접원가 55,100,000 - 조정(라이선스 협상분 반영) 후 총 제조원가 약 52,320,000원.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3-2. 판매가 산정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총 제조원가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52,320,000</w:t>
            </w:r>
          </w:p>
        </w:tc>
        <w:tc>
          <w:tcPr>
            <w:tcW w:type="dxa" w:w="3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마진 (14.7%)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7,680,000</w:t>
            </w:r>
          </w:p>
        </w:tc>
        <w:tc>
          <w:tcPr>
            <w:tcW w:type="dxa" w:w="3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설비 사업 최소 수준</w:t>
            </w:r>
          </w:p>
        </w:tc>
      </w:tr>
      <w:tr>
        <w:tc>
          <w:tcPr>
            <w:tcW w:type="dxa" w:w="34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판매가</w:t>
            </w:r>
          </w:p>
        </w:tc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60,000,000</w:t>
            </w:r>
          </w:p>
        </w:tc>
        <w:tc>
          <w:tcPr>
            <w:tcW w:type="dxa" w:w="3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검증 전용 1호기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3-3. 거래 구조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R&amp;D센터 → 코어시스템 이관가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55,000,000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내부 거래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코어시스템 → 위너콤 판매가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60,000,000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검증 전용 1호기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검증 전용이므로 SW·PC가 원가의 67%를 차지. 이 부분이 이후 자동화 확장 시 재활용되는 핵심 자산입니다.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자동화 확장 시 추가 비용 (STEP 2 참고)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1호기 검출력 검증 후 자동화 기능을 추가할 경우의 예상 증분 비용입니다. SW·PC는 재활용되므로 추가 부담이 없습니다.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추가 항목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예상 금액(원)</w:t>
            </w:r>
          </w:p>
        </w:tc>
        <w:tc>
          <w:tcPr>
            <w:tcW w:type="dxa" w:w="39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투입·배출 컨베어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폭 100mm 표준품 2대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이송 구동부(서보·벨트)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2,500,000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1축 자동 이송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양불 자동 분리 기구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푸셔·슈터·NG함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고정식 바코드 스캐너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1,200,000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투입부 상부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PLC·모션 제어반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3,500,000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자동 시퀀스 제어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MES 연동 개발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데이터 연계 SW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자동화 개발 인건비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4,000,000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제어·통합 약 12 M/D</w:t>
            </w:r>
          </w:p>
        </w:tc>
      </w:tr>
      <w:tr>
        <w:tc>
          <w:tcPr>
            <w:tcW w:type="dxa" w:w="3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자동화 추가 원가 계</w:t>
            </w:r>
          </w:p>
        </w:tc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19,200,000</w:t>
            </w:r>
          </w:p>
        </w:tc>
        <w:tc>
          <w:tcPr>
            <w:tcW w:type="dxa" w:w="39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STEP 2 진행 시 총 원가는 약 7,150만원 수준(검증기 원가 + 자동화 증분), 판매가 약 8,500만원 예상.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5. 1년 후 유지관리 비용 (검증 전용 기준)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4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  <w:tc>
          <w:tcPr>
            <w:tcW w:type="dxa" w:w="1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횟수</w:t>
            </w:r>
          </w:p>
        </w:tc>
        <w:tc>
          <w:tcPr>
            <w:tcW w:type="dxa" w:w="1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정기 점검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카메라·조명·지그 점검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딥러닝 모델 재학습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신규 불량 유형 반영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2,500,000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SW 라이선스 갱신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연간 유지보수 (SMA)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2,900,000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소모품 교체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조명 모듈, 렌즈 클리닝 등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800,000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원격 기술지원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전화·원격 상담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상시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600,000</w:t>
            </w:r>
          </w:p>
        </w:tc>
      </w:tr>
      <w:tr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연간 유지관리비 계</w:t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8,000,000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자동화 기구가 없어 소모품·긴급출동 비용이 낮음. 무상 보증 12개월, 계약은 13개월차부터.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6. 투자 타당성 (검증 단계)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6-1. 위너콤 관점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9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검증기 도입가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60,000,000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1호기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검증 기간 검사원 유지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필요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수작업 병행 운영 (검증 목적)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검증 성공 시 기대효과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연 8,400만원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자동화 확장 후 검사원 2명 대체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검증 단계에서는 인력 절감 효과가 즉시 발생하지 않으며, 검출력 확인 후 자동화 확장 시 본격 효과가 나타납니다.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6-2. 단계별 투자 요약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단계</w:t>
            </w:r>
          </w:p>
        </w:tc>
        <w:tc>
          <w:tcPr>
            <w:tcW w:type="dxa" w:w="2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투자액(원)</w:t>
            </w:r>
          </w:p>
        </w:tc>
        <w:tc>
          <w:tcPr>
            <w:tcW w:type="dxa" w:w="1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기간</w:t>
            </w:r>
          </w:p>
        </w:tc>
        <w:tc>
          <w:tcPr>
            <w:tcW w:type="dxa" w:w="3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목적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STEP 1 (검증기)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60,000,000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약 1개월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딥러닝 검출력 검증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STEP 2 (자동화)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+25,000,000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효과 확인 후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trike w:val="false"/>
                <w:color w:val="2E2E2E"/>
                <w:sz w:val="19"/>
                <w:szCs w:val="19"/>
              </w:rPr>
              <w:t xml:space="preserve">물류 자동화 · 무인 운영</w:t>
            </w:r>
          </w:p>
        </w:tc>
      </w:tr>
      <w:tr>
        <w:tc>
          <w:tcPr>
            <w:tcW w:type="dxa" w:w="2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누적 (완성형)</w:t>
            </w:r>
          </w:p>
        </w:tc>
        <w:tc>
          <w:tcPr>
            <w:tcW w:type="dxa" w:w="24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85,000,000</w:t>
            </w:r>
          </w:p>
        </w:tc>
        <w:tc>
          <w:tcPr>
            <w:tcW w:type="dxa" w:w="18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3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trike w:val="false"/>
                <w:color w:val="1F3864"/>
                <w:sz w:val="19"/>
                <w:szCs w:val="19"/>
              </w:rPr>
              <w:t xml:space="preserve">자동 검사 시스템 완성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단계 분리로 초기 투자 부담을 6,000만원으로 낮추고, 검증 실패 리스크를 최소화합니다.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7. 전제 조건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본 산출은 검증 전용 최소 구성 기준이며, 자동화 기능은 STEP 2에서 별도 산정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제품 투입·배출·바코드 스캔은 검사원 수작업으로 진행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검사 지그는 제품 정위치 및 바코드 상향 고정이 가능하도록 설계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위너콤 불량 데이터 제공 시 개발 인건비 추가 절감 가능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상부 카메라 1대, 단일 검사 스테이션 기준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160"/>
        <w:jc w:val="center"/>
      </w:pPr>
      <w:r>
        <w:rPr>
          <w:rFonts w:ascii="맑은 고딕" w:cs="맑은 고딕" w:eastAsia="맑은 고딕" w:hAnsi="맑은 고딕"/>
          <w:b/>
          <w:bCs/>
          <w:color w:val="888888"/>
          <w:sz w:val="20"/>
          <w:szCs w:val="20"/>
        </w:rPr>
        <w:t xml:space="preserve">— 이 상 —</w:t>
      </w:r>
    </w:p>
    <w:sectPr>
      <w:headerReference w:type="default" r:id="rId7"/>
      <w:footerReference w:type="default" r:id="rId8"/>
      <w:pgSz w:w="11906" w:h="16838" w:orient="portrait"/>
      <w:pgMar w:top="1304" w:right="907" w:bottom="1020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© 2026 인시스 AI혁신 R&amp;D센터  |  개발비용 산출서 v4.0 (검증 전용)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맑은 고딕" w:cs="맑은 고딕" w:eastAsia="맑은 고딕" w:hAnsi="맑은 고딕"/>
        <w:color w:val="888888"/>
        <w:sz w:val="17"/>
        <w:szCs w:val="17"/>
      </w:rPr>
      <w:t xml:space="preserve">인시스 AI혁신 R&amp;D센터 | 대외비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2026-07-22T01:41:34.864Z</dcterms:created>
  <dcterms:modified xsi:type="dcterms:W3CDTF">2026-07-22T01:41:34.883Z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