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课程编号：待填写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>
      <w:pPr>
        <w:widowControl w:val="1"/>
        <w:jc w:val="center"/>
        <w:spacing w:before="0" w:after="120" w:line="300" w:lineRule="auto"/>
        <w:snapToGrid w:val="0"/>
        <w:ind w:firstLine="0"/>
        <w:keepNext w:val="1"/>
        <w:rPr>
          <w:rFonts w:ascii="Times New Roman" w:hAnsi="Times New Roman" w:eastAsia="宋体" w:cs="Times New Roman"/>
          <w:sz w:val="28"/>
          <w:szCs w:val="28"/>
          <w:color w:val="000000"/>
          <w:b/>
        </w:rPr>
      </w:pPr>
      <w:r>
        <w:rPr>
          <w:rFonts w:ascii="Times New Roman" w:hAnsi="Times New Roman" w:eastAsia="宋体" w:cs="Times New Roman"/>
          <w:sz w:val="28"/>
          <w:szCs w:val="28"/>
          <w:color w:val="000000"/>
          <w:b/>
        </w:rPr>
        <w:t xml:space="preserve">基于 Ninka 的 Gson 核心模块许可证分析</w:t>
      </w: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余江昊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f25011539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f250118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>2026年10月29日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389FC1C7">
      <w:pPr>
        <w:widowControl/>
        <w:jc w:val="center"/>
        <w:rPr>
          <w:rFonts w:ascii="仿宋_GB2312" w:hAnsi="宋体" w:eastAsia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 w:cs="仿宋_GB2312"/>
          <w:b/>
          <w:bCs/>
          <w:sz w:val="28"/>
          <w:szCs w:val="28"/>
          <w:lang w:val="en-US" w:eastAsia="zh-CN"/>
        </w:rPr>
        <w:t>上海杉达学院</w:t>
      </w:r>
    </w:p>
    <w:p>
      <w:pPr>
        <w:keepNext w:val="1"/>
        <w:pageBreakBefore w:val="1"/>
        <w:widowControl w:val="1"/>
        <w:snapToGrid w:val="0"/>
        <w:spacing w:before="0" w:after="120" w:line="300" w:lineRule="auto"/>
        <w:ind w:firstLine="0"/>
        <w:jc w:val="center"/>
        <w:rPr>
          <w:rFonts w:ascii="Times New Roman" w:hAnsi="Times New Roman" w:eastAsia="宋体" w:cs="Times New Roman"/>
          <w:sz w:val="28"/>
          <w:szCs w:val="28"/>
          <w:color w:val="000000"/>
          <w:b/>
        </w:rPr>
      </w:pPr>
      <w:r>
        <w:rPr>
          <w:rFonts w:ascii="Times New Roman" w:hAnsi="Times New Roman" w:eastAsia="宋体" w:cs="Times New Roman"/>
          <w:sz w:val="28"/>
          <w:szCs w:val="28"/>
          <w:color w:val="000000"/>
          <w:b/>
        </w:rPr>
        <w:t xml:space="preserve">Gson 核心模块开源许可证分析报告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本报告选取 GitHub 上的 Google Gson 2.13.2，使用课程手册列出的 Ninka 进行真实扫描。91 个纳入文件中，87 个结果包含 Apache-2 标记，4 个文件缺少独立许可证头；另有 3 个 SeeFile 附加标记经复核属于普通文档注释。结果说明核心模块的 Apache 授权声明总体一致，但文件级声明仍有改进空间。扫描结果不能代替对依赖和实际发布包的完整审查。</w:t>
      </w:r>
      <w:r>
        <w:br/>
      </w:r>
    </w:p>
    <w:p>
      <w:pPr>
        <w:keepNext w:val="1"/>
        <w:widowControl w:val="1"/>
        <w:snapToGrid w:val="0"/>
        <w:spacing w:before="100" w:after="120" w:line="300" w:lineRule="auto"/>
        <w:ind w:firstLine="0"/>
        <w:jc w:val="left"/>
        <w:rPr>
          <w:rFonts w:ascii="Times New Roman" w:hAnsi="Times New Roman" w:eastAsia="宋体" w:cs="Times New Roman"/>
          <w:sz w:val="24"/>
          <w:szCs w:val="24"/>
          <w:color w:val="000000"/>
          <w:b/>
        </w:rPr>
      </w:pPr>
      <w:r>
        <w:rPr>
          <w:rFonts w:ascii="Times New Roman" w:hAnsi="Times New Roman" w:eastAsia="宋体" w:cs="Times New Roman"/>
          <w:sz w:val="24"/>
          <w:szCs w:val="24"/>
          <w:color w:val="000000"/>
          <w:b/>
        </w:rPr>
        <w:t xml:space="preserve">1 项目概况与工具选型</w:t>
      </w:r>
    </w:p>
    <w:p>
      <w:pPr>
        <w:keepNext w:val="1"/>
        <w:widowControl w:val="1"/>
        <w:snapToGrid w:val="0"/>
        <w:spacing w:before="100" w:after="120" w:line="300" w:lineRule="auto"/>
        <w:ind w:firstLine="0"/>
        <w:jc w:val="left"/>
        <w:rPr>
          <w:rFonts w:ascii="Times New Roman" w:hAnsi="Times New Roman" w:eastAsia="宋体" w:cs="Times New Roman"/>
          <w:sz w:val="21"/>
          <w:szCs w:val="21"/>
          <w:color w:val="000000"/>
          <w:b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  <w:b/>
        </w:rPr>
        <w:t xml:space="preserve">1.1 项目与分析边界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Gson 是将 Java 对象与 JSON 相互转换的开源库，具有明确的功能边界和许可证文件，适合观察开源项目中的授权声明及工具误报。[1] 本实验选择已发布的 2.13.2 版本，不使用持续变化的主分支；版本标签为 gson-parent-2.13.2，实际提交如下。</w:t>
      </w:r>
    </w:p>
    <w:p>
      <w:pPr>
        <w:keepNext w:val="1"/>
        <w:widowControl w:val="1"/>
        <w:snapToGrid w:val="0"/>
        <w:spacing w:before="0" w:after="0" w:line="300" w:lineRule="auto"/>
        <w:ind w:firstLine="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686fad782d969d8f15c7581a5435a208b810caa7</w:t>
      </w:r>
    </w:p>
    <w:tbl>
      <w:tblPr>
        <w:tblStyle w:val="6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900"/>
        <w:gridCol w:w="6406"/>
      </w:tblGrid>
      <w:tr>
        <w:trPr>
          <w:cantSplit/>
          <w:tblHeader/>
        </w:trPr>
        <w:tc>
          <w:tcPr>
            <w:tcW w:w="1900" w:type="dxa"/>
            <w:vAlign w:val="center"/>
            <w:shd w:val="clear" w:fill="E7E6E6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  <w:b/>
              </w:rPr>
              <w:t xml:space="preserve">项目</w:t>
            </w:r>
          </w:p>
        </w:tc>
        <w:tc>
          <w:tcPr>
            <w:tcW w:w="6406" w:type="dxa"/>
            <w:vAlign w:val="center"/>
            <w:shd w:val="clear" w:fill="E7E6E6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  <w:b/>
              </w:rPr>
              <w:t xml:space="preserve">本次实际范围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GitHub 仓库</w:t>
            </w:r>
          </w:p>
        </w:tc>
        <w:tc>
          <w:tcPr>
            <w:tcW w:w="64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google/gson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核心目录</w:t>
            </w:r>
          </w:p>
        </w:tc>
        <w:tc>
          <w:tcPr>
            <w:tcW w:w="64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gson/src/main/ 下全部 86 个文件，其中 Java 文件 85 个、ProGuard 配置文件 1 个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补充文件</w:t>
            </w:r>
          </w:p>
        </w:tc>
        <w:tc>
          <w:tcPr>
            <w:tcW w:w="64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根目录 LICENSE、README.md、pom.xml，以及 gson/LICENSE、gson/pom.xml，共 5 个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排除范围</w:t>
            </w:r>
          </w:p>
        </w:tc>
        <w:tc>
          <w:tcPr>
            <w:tcW w:w="64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仓库其余 214 个文件，以及外部依赖源码、编译产物、实际发布 JAR 和运行环境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输入校验</w:t>
            </w:r>
          </w:p>
        </w:tc>
        <w:tc>
          <w:tcPr>
            <w:tcW w:w="6406" w:type="dxa"/>
            <w:vAlign w:val="center"/>
          </w:tcPr>
          <w:p>
            <w:pPr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从固定提交获取文件，逐个计算 Git blob SHA-1 并与仓库树记录比较，91 个全部一致</w:t>
            </w:r>
          </w:p>
        </w:tc>
      </w:tr>
    </w:tbl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本次覆盖的是核心模块及必要元数据，不是整个仓库。仓库树共列出 305 个普通文件；报告中的所有比例均以明确的纳入范围为分母。测试目录、其他模块和第三方依赖的许可证状况不由本次结果推出。</w:t>
      </w:r>
    </w:p>
    <w:p>
      <w:pPr>
        <w:keepNext w:val="1"/>
        <w:widowControl w:val="1"/>
        <w:snapToGrid w:val="0"/>
        <w:spacing w:before="100" w:after="120" w:line="300" w:lineRule="auto"/>
        <w:ind w:firstLine="0"/>
        <w:jc w:val="left"/>
        <w:rPr>
          <w:rFonts w:ascii="Times New Roman" w:hAnsi="Times New Roman" w:eastAsia="宋体" w:cs="Times New Roman"/>
          <w:sz w:val="21"/>
          <w:szCs w:val="21"/>
          <w:color w:val="000000"/>
          <w:b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  <w:b/>
        </w:rPr>
        <w:t xml:space="preserve">1.2 工具依据与质量标准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课程提供的《33款开源许可合规工具逐条优缺点与选型手册》第 2 项介绍了 Ninka。它通过提取注释、分句和匹配许可证句子识别文件中的授权信息，适合演示检测原理及复核过程。[2] 本实验采用 Ninka 1.3.2，固定源码提交为 b94e0d36669c4cc086856adf57bc67ced8f1aaf0。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手册将 Ninka 定位为学习参考工具，提示其规则较老、覆盖有限。因此，本报告用它开展范围受限的课程实验，不将单次扫描作为正式发布的唯一依据。上游 README 明确说明工具自身采用 GPL 第 2 版或后续版本授权，可规范表述为 GPL-2.0-or-later；这与被分析项目的 Apache-2.0 授权分别记录。[2]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质量标准设为四项：输入版本固定且哈希一致；纳入文件全部产生结果且进程正常结束；所有 UNKNOWN、NONE 和混合标记均人工复核；结论能追溯到文件、原始输出或许可证原文。质量评价关注证据完整性与解释准确性，不以“扫描后没有告警”作为唯一目标。</w:t>
      </w:r>
    </w:p>
    <w:p>
      <w:pPr>
        <w:keepNext w:val="1"/>
        <w:widowControl w:val="1"/>
        <w:snapToGrid w:val="0"/>
        <w:spacing w:before="100" w:after="120" w:line="300" w:lineRule="auto"/>
        <w:ind w:firstLine="0"/>
        <w:jc w:val="left"/>
        <w:rPr>
          <w:rFonts w:ascii="Times New Roman" w:hAnsi="Times New Roman" w:eastAsia="宋体" w:cs="Times New Roman"/>
          <w:sz w:val="24"/>
          <w:szCs w:val="24"/>
          <w:color w:val="000000"/>
          <w:b/>
        </w:rPr>
      </w:pPr>
      <w:r>
        <w:rPr>
          <w:rFonts w:ascii="Times New Roman" w:hAnsi="Times New Roman" w:eastAsia="宋体" w:cs="Times New Roman"/>
          <w:sz w:val="24"/>
          <w:szCs w:val="24"/>
          <w:color w:val="000000"/>
          <w:b/>
        </w:rPr>
        <w:t xml:space="preserve">2 分析方法与总体策略</w:t>
      </w:r>
    </w:p>
    <w:p>
      <w:pPr>
        <w:keepNext w:val="1"/>
        <w:widowControl w:val="1"/>
        <w:snapToGrid w:val="0"/>
        <w:spacing w:before="100" w:after="120" w:line="300" w:lineRule="auto"/>
        <w:ind w:firstLine="0"/>
        <w:jc w:val="left"/>
        <w:rPr>
          <w:rFonts w:ascii="Times New Roman" w:hAnsi="Times New Roman" w:eastAsia="宋体" w:cs="Times New Roman"/>
          <w:sz w:val="21"/>
          <w:szCs w:val="21"/>
          <w:color w:val="000000"/>
          <w:b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  <w:b/>
        </w:rPr>
        <w:t xml:space="preserve">2.1 实验环境与执行流程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实际运行环境为 macOS 27.0.1、arm64、Perl v5.34.1。Ninka 从固定提交加载，使用随工具提供的 comments v4 提取器；该提取器由源码执行 make 编译，未修改识别规则。运行所需的 IO::CaptureOutput 使用上游版本 1.1106，源码提交为 ba4496a5931716cf45fd1de05e8c9949f5197015。[3]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执行策略为“锁定版本—列举文件—校验输入—一次扫描—分类复核—保留证据”。先通过 GitHub 接口取得固定提交的仓库树与文件内容，再按 1.1 节定义构造清单。核心目录不使用扩展名过滤，避免遗漏配置文件。工具源码、测试样本、输出文件均置于被扫项目之外，防止把工具自身的 GPL 声明或扫描产物算入 Gson。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实际批处理由 run_analysis.py 调用原始 Ninka 命令完成。核心调用方式如下，files 表示已排序的 91 个相对路径；工作目录为固定版本的 Gson 副本。</w:t>
      </w:r>
    </w:p>
    <w:p>
      <w:pPr>
        <w:keepNext w:val="1"/>
        <w:widowControl w:val="1"/>
        <w:snapToGrid w:val="0"/>
        <w:spacing w:before="0" w:after="0" w:line="300" w:lineRule="auto"/>
        <w:ind w:firstLine="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PERL5LIB=ninka/lib:perl-deps/lib</w:t>
      </w:r>
    </w:p>
    <w:p>
      <w:pPr>
        <w:keepNext w:val="1"/>
        <w:widowControl w:val="1"/>
        <w:snapToGrid w:val="0"/>
        <w:spacing w:before="0" w:after="0" w:line="300" w:lineRule="auto"/>
        <w:ind w:firstLine="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PATH=ninka/comments:$PATH</w:t>
      </w:r>
    </w:p>
    <w:p>
      <w:pPr>
        <w:keepNext w:val="1"/>
        <w:widowControl w:val="1"/>
        <w:snapToGrid w:val="0"/>
        <w:spacing w:before="0" w:after="0" w:line="300" w:lineRule="auto"/>
        <w:ind w:firstLine="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perl ninka/bin/ninka &lt;files 中的全部文件路径&gt;</w:t>
      </w:r>
    </w:p>
    <w:p>
      <w:pPr>
        <w:keepNext w:val="1"/>
        <w:widowControl w:val="1"/>
        <w:snapToGrid w:val="0"/>
        <w:spacing w:before="0" w:after="0" w:line="300" w:lineRule="auto"/>
        <w:ind w:firstLine="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标准输出 → scan-raw.txt；标准错误 → scan-stderr.txt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上述 ninka 路径按实验根目录解析。进程退出码为 0，标准错误为空，原始输出为 91 行，与输入清单一一对应。单次扫描耗时约 2.414 秒，仅反映本机此次小样本的观察值，不代表其他机器或大型仓库的性能。扫描后再次校验输入哈希，确认原项目文件未被改写。</w:t>
      </w:r>
    </w:p>
    <w:p>
      <w:pPr>
        <w:keepNext w:val="1"/>
        <w:widowControl w:val="1"/>
        <w:snapToGrid w:val="0"/>
        <w:spacing w:before="100" w:after="120" w:line="300" w:lineRule="auto"/>
        <w:ind w:firstLine="0"/>
        <w:jc w:val="left"/>
        <w:rPr>
          <w:rFonts w:ascii="Times New Roman" w:hAnsi="Times New Roman" w:eastAsia="宋体" w:cs="Times New Roman"/>
          <w:sz w:val="21"/>
          <w:szCs w:val="21"/>
          <w:color w:val="000000"/>
          <w:b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  <w:b/>
        </w:rPr>
        <w:t xml:space="preserve">2.2 控制样本与人工复核方法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为确认工具能区分典型声明与无声明情况，另建 4 个小型 Java 控制样本。它们属于实验构造数据，不计入 Gson 的 91 个文件，也不据此推算工具的总体准确率。</w:t>
      </w:r>
    </w:p>
    <w:tbl>
      <w:tblPr>
        <w:tblStyle w:val="6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400"/>
        <w:gridCol w:w="3706"/>
        <w:gridCol w:w="2200"/>
      </w:tblGrid>
      <w:tr>
        <w:trPr>
          <w:cantSplit/>
          <w:tblHeader/>
        </w:trPr>
        <w:tc>
          <w:tcPr>
            <w:tcW w:w="2400" w:type="dxa"/>
            <w:vAlign w:val="center"/>
            <w:shd w:val="clear" w:fill="E7E6E6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  <w:b/>
              </w:rPr>
              <w:t xml:space="preserve">控制样本</w:t>
            </w:r>
          </w:p>
        </w:tc>
        <w:tc>
          <w:tcPr>
            <w:tcW w:w="3706" w:type="dxa"/>
            <w:vAlign w:val="center"/>
            <w:shd w:val="clear" w:fill="E7E6E6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  <w:b/>
              </w:rPr>
              <w:t xml:space="preserve">预期用途</w:t>
            </w:r>
          </w:p>
        </w:tc>
        <w:tc>
          <w:tcPr>
            <w:tcW w:w="2200" w:type="dxa"/>
            <w:vAlign w:val="center"/>
            <w:shd w:val="clear" w:fill="E7E6E6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  <w:b/>
              </w:rPr>
              <w:t xml:space="preserve">实测标签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Apache 完整短声明</w:t>
            </w:r>
          </w:p>
        </w:tc>
        <w:tc>
          <w:tcPr>
            <w:tcW w:w="37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检查典型 Apache 声明能否被识别</w:t>
            </w:r>
          </w:p>
        </w:tc>
        <w:tc>
          <w:tcPr>
            <w:tcW w:w="22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Apache-2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GPL 第2版或后续版本短声明</w:t>
            </w:r>
          </w:p>
        </w:tc>
        <w:tc>
          <w:tcPr>
            <w:tcW w:w="37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检查不同许可证能否被区分</w:t>
            </w:r>
          </w:p>
        </w:tc>
        <w:tc>
          <w:tcPr>
            <w:tcW w:w="22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GPLv2+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只有 package 和空类</w:t>
            </w:r>
          </w:p>
        </w:tc>
        <w:tc>
          <w:tcPr>
            <w:tcW w:w="37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检查无声明时的返回值</w:t>
            </w:r>
          </w:p>
        </w:tc>
        <w:tc>
          <w:tcPr>
            <w:tcW w:w="22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NONE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只有 SPDX 标识注释</w:t>
            </w:r>
          </w:p>
        </w:tc>
        <w:tc>
          <w:tcPr>
            <w:tcW w:w="3706" w:type="dxa"/>
            <w:vAlign w:val="center"/>
          </w:tcPr>
          <w:p>
            <w:pPr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检查简写标识的支持情况</w:t>
            </w:r>
          </w:p>
        </w:tc>
        <w:tc>
          <w:tcPr>
            <w:tcW w:w="2200" w:type="dxa"/>
            <w:vAlign w:val="center"/>
          </w:tcPr>
          <w:p>
            <w:pPr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UNKNOWN</w:t>
            </w:r>
          </w:p>
        </w:tc>
      </w:tr>
    </w:tbl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前三项符合预期；仅含 SPDX-License-Identifier: Apache-2.0 的样本未被正确识别，说明该版本对这种声明方式存在识别局限。UNKNOWN 应进入复核队列，不能直接解释为未知许可证或违规。对真实项目中的 7 个非单一 Apache-2 结果，逐项阅读源文件；对 3 个混合标记及 Strictness.java，还用 -i 在复核副本上保存分句和匹配中间结果。</w:t>
      </w:r>
    </w:p>
    <w:p>
      <w:pPr>
        <w:keepNext w:val="1"/>
        <w:widowControl w:val="1"/>
        <w:snapToGrid w:val="0"/>
        <w:spacing w:before="100" w:after="120" w:line="300" w:lineRule="auto"/>
        <w:ind w:firstLine="0"/>
        <w:jc w:val="left"/>
        <w:rPr>
          <w:rFonts w:ascii="Times New Roman" w:hAnsi="Times New Roman" w:eastAsia="宋体" w:cs="Times New Roman"/>
          <w:sz w:val="24"/>
          <w:szCs w:val="24"/>
          <w:color w:val="000000"/>
          <w:b/>
        </w:rPr>
      </w:pPr>
      <w:r>
        <w:rPr>
          <w:rFonts w:ascii="Times New Roman" w:hAnsi="Times New Roman" w:eastAsia="宋体" w:cs="Times New Roman"/>
          <w:sz w:val="24"/>
          <w:szCs w:val="24"/>
          <w:color w:val="000000"/>
          <w:b/>
        </w:rPr>
        <w:t xml:space="preserve">3 扫描结果与风险分析</w:t>
      </w:r>
    </w:p>
    <w:p>
      <w:pPr>
        <w:keepNext w:val="1"/>
        <w:widowControl w:val="1"/>
        <w:snapToGrid w:val="0"/>
        <w:spacing w:before="100" w:after="120" w:line="300" w:lineRule="auto"/>
        <w:ind w:firstLine="0"/>
        <w:jc w:val="left"/>
        <w:rPr>
          <w:rFonts w:ascii="Times New Roman" w:hAnsi="Times New Roman" w:eastAsia="宋体" w:cs="Times New Roman"/>
          <w:sz w:val="21"/>
          <w:szCs w:val="21"/>
          <w:color w:val="000000"/>
          <w:b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  <w:b/>
        </w:rPr>
        <w:t xml:space="preserve">3.1 原始结果统计</w:t>
      </w:r>
    </w:p>
    <w:tbl>
      <w:tblPr>
        <w:tblStyle w:val="6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300"/>
        <w:gridCol w:w="900"/>
        <w:gridCol w:w="5106"/>
      </w:tblGrid>
      <w:tr>
        <w:trPr>
          <w:cantSplit/>
          <w:tblHeader/>
        </w:trPr>
        <w:tc>
          <w:tcPr>
            <w:tcW w:w="2300" w:type="dxa"/>
            <w:vAlign w:val="center"/>
            <w:shd w:val="clear" w:fill="E7E6E6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  <w:b/>
              </w:rPr>
              <w:t xml:space="preserve">Ninka 原始标签</w:t>
            </w:r>
          </w:p>
        </w:tc>
        <w:tc>
          <w:tcPr>
            <w:tcW w:w="900" w:type="dxa"/>
            <w:vAlign w:val="center"/>
            <w:shd w:val="clear" w:fill="E7E6E6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  <w:b/>
              </w:rPr>
              <w:t xml:space="preserve">文件数</w:t>
            </w:r>
          </w:p>
        </w:tc>
        <w:tc>
          <w:tcPr>
            <w:tcW w:w="5106" w:type="dxa"/>
            <w:vAlign w:val="center"/>
            <w:shd w:val="clear" w:fill="E7E6E6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  <w:b/>
              </w:rPr>
              <w:t xml:space="preserve">含义与处理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Apache-2</w:t>
            </w:r>
          </w:p>
        </w:tc>
        <w:tc>
          <w:tcPr>
            <w:tcW w:w="9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84</w:t>
            </w:r>
          </w:p>
        </w:tc>
        <w:tc>
          <w:tcPr>
            <w:tcW w:w="51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识别到 Apache 许可证声明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Apache-2,SeeFile</w:t>
            </w:r>
          </w:p>
        </w:tc>
        <w:tc>
          <w:tcPr>
            <w:tcW w:w="9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</w:t>
            </w:r>
          </w:p>
        </w:tc>
        <w:tc>
          <w:tcPr>
            <w:tcW w:w="51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包含 Apache 声明，并出现需人工解释的附加匹配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UNKNOWN</w:t>
            </w:r>
          </w:p>
        </w:tc>
        <w:tc>
          <w:tcPr>
            <w:tcW w:w="9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1</w:t>
            </w:r>
          </w:p>
        </w:tc>
        <w:tc>
          <w:tcPr>
            <w:tcW w:w="51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发现类似许可语言，但未形成已知许可证结论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NONE</w:t>
            </w:r>
          </w:p>
        </w:tc>
        <w:tc>
          <w:tcPr>
            <w:tcW w:w="9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</w:t>
            </w:r>
          </w:p>
        </w:tc>
        <w:tc>
          <w:tcPr>
            <w:tcW w:w="51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未检测到许可证声明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合计</w:t>
            </w:r>
          </w:p>
        </w:tc>
        <w:tc>
          <w:tcPr>
            <w:tcW w:w="900" w:type="dxa"/>
            <w:vAlign w:val="center"/>
          </w:tcPr>
          <w:p>
            <w:pPr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91</w:t>
            </w:r>
          </w:p>
        </w:tc>
        <w:tc>
          <w:tcPr>
            <w:tcW w:w="5106" w:type="dxa"/>
            <w:vAlign w:val="center"/>
          </w:tcPr>
          <w:p>
            <w:pPr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与输入清单一致，未发生扫描中断</w:t>
            </w:r>
          </w:p>
        </w:tc>
      </w:tr>
    </w:tbl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87/91，即 95.60% 的纳入文件，原始结果含 Apache-2；这个数值是“声明识别比例”，不是项目的合规率。只看 Java 文件时，82/85，即 96.47% 的文件含该标记，其余 3 个 Java 文件需要补充审查。报告仅在复核实际声明后，将工具的 Apache-2 标签规范对应到 SPDX 标识 Apache-2.0。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根目录 LICENSE、gson/LICENSE 和 POM 中的授权信息相互支持，均指向 Apache License 2.0。[1] 但仓库级许可证与每个文件是否拥有独立声明属于不同问题；缺少文件头不会单独证明该文件未获授权。</w:t>
      </w:r>
    </w:p>
    <w:p>
      <w:pPr>
        <w:keepNext w:val="1"/>
        <w:widowControl w:val="1"/>
        <w:snapToGrid w:val="0"/>
        <w:spacing w:before="100" w:after="120" w:line="300" w:lineRule="auto"/>
        <w:ind w:firstLine="0"/>
        <w:jc w:val="left"/>
        <w:rPr>
          <w:rFonts w:ascii="Times New Roman" w:hAnsi="Times New Roman" w:eastAsia="宋体" w:cs="Times New Roman"/>
          <w:sz w:val="21"/>
          <w:szCs w:val="21"/>
          <w:color w:val="000000"/>
          <w:b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  <w:b/>
        </w:rPr>
        <w:t xml:space="preserve">3.2 四个文件级声明缺口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下表路径均相对于 gson/src/main/。这 4 个文件已逐一阅读；“缺口”指缺少独立许可证头，并非已经确认法律违规。</w:t>
      </w:r>
    </w:p>
    <w:tbl>
      <w:tblPr>
        <w:tblStyle w:val="6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000"/>
        <w:gridCol w:w="2700"/>
        <w:gridCol w:w="2606"/>
      </w:tblGrid>
      <w:tr>
        <w:trPr>
          <w:cantSplit/>
          <w:tblHeader/>
        </w:trPr>
        <w:tc>
          <w:tcPr>
            <w:tcW w:w="3000" w:type="dxa"/>
            <w:vAlign w:val="center"/>
            <w:shd w:val="clear" w:fill="E7E6E6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  <w:b/>
              </w:rPr>
              <w:t xml:space="preserve">相对路径</w:t>
            </w:r>
          </w:p>
        </w:tc>
        <w:tc>
          <w:tcPr>
            <w:tcW w:w="2700" w:type="dxa"/>
            <w:vAlign w:val="center"/>
            <w:shd w:val="clear" w:fill="E7E6E6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  <w:b/>
              </w:rPr>
              <w:t xml:space="preserve">证据与原始输出</w:t>
            </w:r>
          </w:p>
        </w:tc>
        <w:tc>
          <w:tcPr>
            <w:tcW w:w="2606" w:type="dxa"/>
            <w:vAlign w:val="center"/>
            <w:shd w:val="clear" w:fill="E7E6E6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  <w:b/>
              </w:rPr>
              <w:t xml:space="preserve">复核意见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java/com/google/gson/Strictness.java</w:t>
            </w:r>
          </w:p>
        </w:tc>
        <w:tc>
          <w:tcPr>
            <w:tcW w:w="27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第 1 行直接为 package；第 6—19 行为功能文档；输出 UNKNOWN</w:t>
            </w:r>
          </w:p>
        </w:tc>
        <w:tc>
          <w:tcPr>
            <w:tcW w:w="26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没有独立许可头。中间结果把“严格遵守 JSON 规范”的描述视为未知许可句。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java/com/google/gson/internal/NumberLimits.java</w:t>
            </w:r>
          </w:p>
        </w:tc>
        <w:tc>
          <w:tcPr>
            <w:tcW w:w="27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第 1 行直接为 package；第 6—9 行为数字长度限制说明；输出 NONE</w:t>
            </w:r>
          </w:p>
        </w:tc>
        <w:tc>
          <w:tcPr>
            <w:tcW w:w="26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没有独立许可头。结合目录授权和来源记录确认后，再补充声明。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java/com/google/gson/internal/TroubleshootingGuide.java</w:t>
            </w:r>
          </w:p>
        </w:tc>
        <w:tc>
          <w:tcPr>
            <w:tcW w:w="27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第 1 行为 package；第 3 行开始定义类；输出 NONE</w:t>
            </w:r>
          </w:p>
        </w:tc>
        <w:tc>
          <w:tcPr>
            <w:tcW w:w="26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没有独立许可头。功能性链接不能替代授权声明。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resources/META-INF/proguard/gson.pro</w:t>
            </w:r>
          </w:p>
        </w:tc>
        <w:tc>
          <w:tcPr>
            <w:tcW w:w="2700" w:type="dxa"/>
            <w:vAlign w:val="center"/>
          </w:tcPr>
          <w:p>
            <w:pPr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共 72 行，为 ProGuard 和 R8 规则；未见许可声明；输出 NONE</w:t>
            </w:r>
          </w:p>
        </w:tc>
        <w:tc>
          <w:tcPr>
            <w:tcW w:w="2606" w:type="dxa"/>
            <w:vAlign w:val="center"/>
          </w:tcPr>
          <w:p>
            <w:pPr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属于会随核心资源交付的配置，后续发布检查应覆盖此类资源。</w:t>
            </w:r>
          </w:p>
        </w:tc>
      </w:tr>
    </w:tbl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建议先核实提交来源及项目的文件声明约定，再由维护者决定是否补充 Apache-2.0 许可头或其他规范声明。不能直接批量写入任意版权人姓名，也不能因为存在根许可证，就将这 4 条记录静默忽略。</w:t>
      </w:r>
    </w:p>
    <w:p>
      <w:pPr>
        <w:keepNext w:val="1"/>
        <w:widowControl w:val="1"/>
        <w:snapToGrid w:val="0"/>
        <w:spacing w:before="100" w:after="120" w:line="300" w:lineRule="auto"/>
        <w:ind w:firstLine="0"/>
        <w:jc w:val="left"/>
        <w:rPr>
          <w:rFonts w:ascii="Times New Roman" w:hAnsi="Times New Roman" w:eastAsia="宋体" w:cs="Times New Roman"/>
          <w:sz w:val="21"/>
          <w:szCs w:val="21"/>
          <w:color w:val="000000"/>
          <w:b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  <w:b/>
        </w:rPr>
        <w:t xml:space="preserve">3.3 三个附加标记的复核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Gson.java、GsonBuilder.java 和 reflect/TypeToken.java 均包含正常的 Apache 许可头，但额外输出 SeeFile。中间分句显示，被匹配的句子分别指向 JsonReader 的 API 说明、历史问题链接和 TypeToken 的类文档；这些链接用于解释功能，不是额外许可证文件。故保留 Apache-2.0 判断，将 SeeFile 记录为本次规则匹配产生的噪声，不将其算作第二种许可证。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例如 Gson.java 的原始结果为“Apache-2,SeeFile”，而其首部第 4—14 行已写明 Apache License 2.0。Ninka 同时匹配到了普通的“查看详细说明”语句。这表明只看标签列会高估多许可证情况，保存分句和词元结果有助于解释告警。</w:t>
      </w:r>
    </w:p>
    <w:p>
      <w:pPr>
        <w:keepNext w:val="1"/>
        <w:widowControl w:val="1"/>
        <w:snapToGrid w:val="0"/>
        <w:spacing w:before="100" w:after="120" w:line="300" w:lineRule="auto"/>
        <w:ind w:firstLine="0"/>
        <w:jc w:val="left"/>
        <w:rPr>
          <w:rFonts w:ascii="Times New Roman" w:hAnsi="Times New Roman" w:eastAsia="宋体" w:cs="Times New Roman"/>
          <w:sz w:val="21"/>
          <w:szCs w:val="21"/>
          <w:color w:val="000000"/>
          <w:b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  <w:b/>
        </w:rPr>
        <w:t xml:space="preserve">3.4 风险与处置优先级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优先处理发布范围风险。本实验未解析 Maven 依赖，也未审计最终 JAR。即使 91 个文件全部识别成功，也不能推出整个产品不存在许可证冲突。正式发布前，应核对实际交付物清单、依赖及其声明，将范围扩展到编译期和运行期组件。此项属于待开展工作。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其次处理声明完整性与检测误差。4 个文件级缺口需形成可追踪记录；3 个 SeeFile 噪声和 SPDX 控制样本失败则提示工具规则有限。建议对异常逐项保留人工结论，并在正式项目中采用维护更活跃、格式支持更广的工具补充检查。不能通过大范围排除文件来获得“全绿”结果。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第三是许可证义务的落实。根据 Apache-2.0 第 4 条，分发时应提供许可证副本，对修改文件作醒目说明，并保留适用的版权、专利、商标及归属声明；如果上游作品包含适用的 NOTICE，也应按条款保留相关告知。[4] 因而，扫描之外还要检查发布包中的许可证与告知材料是否实际存在。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最后是可复现性风险。版本、规则库、注释提取器和排除清单的变化都可能影响结论。本实验保存固定提交、输入哈希、原始输出、错误输出及人工复核中间文件；后续重扫应沿用同一清单，并对结果差异说明原因。</w:t>
      </w:r>
    </w:p>
    <w:p>
      <w:pPr>
        <w:keepNext w:val="1"/>
        <w:widowControl w:val="1"/>
        <w:snapToGrid w:val="0"/>
        <w:spacing w:before="100" w:after="120" w:line="300" w:lineRule="auto"/>
        <w:ind w:firstLine="0"/>
        <w:jc w:val="left"/>
        <w:rPr>
          <w:rFonts w:ascii="Times New Roman" w:hAnsi="Times New Roman" w:eastAsia="宋体" w:cs="Times New Roman"/>
          <w:sz w:val="24"/>
          <w:szCs w:val="24"/>
          <w:color w:val="000000"/>
          <w:b/>
        </w:rPr>
      </w:pPr>
      <w:r>
        <w:rPr>
          <w:rFonts w:ascii="Times New Roman" w:hAnsi="Times New Roman" w:eastAsia="宋体" w:cs="Times New Roman"/>
          <w:sz w:val="24"/>
          <w:szCs w:val="24"/>
          <w:color w:val="000000"/>
          <w:b/>
        </w:rPr>
        <w:t xml:space="preserve">4 充分性判断与改进结论</w:t>
      </w:r>
    </w:p>
    <w:p>
      <w:pPr>
        <w:keepNext w:val="1"/>
        <w:widowControl w:val="1"/>
        <w:snapToGrid w:val="0"/>
        <w:spacing w:before="100" w:after="120" w:line="300" w:lineRule="auto"/>
        <w:ind w:firstLine="0"/>
        <w:jc w:val="left"/>
        <w:rPr>
          <w:rFonts w:ascii="Times New Roman" w:hAnsi="Times New Roman" w:eastAsia="宋体" w:cs="Times New Roman"/>
          <w:sz w:val="21"/>
          <w:szCs w:val="21"/>
          <w:color w:val="000000"/>
          <w:b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  <w:b/>
        </w:rPr>
        <w:t xml:space="preserve">4.1 本次实验的充分性</w:t>
      </w:r>
    </w:p>
    <w:tbl>
      <w:tblPr>
        <w:tblStyle w:val="6"/>
        <w:tblW w:w="8306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200"/>
        <w:gridCol w:w="3600"/>
        <w:gridCol w:w="2506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E7E6E6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  <w:b/>
              </w:rPr>
              <w:t xml:space="preserve">判断项目</w:t>
            </w:r>
          </w:p>
        </w:tc>
        <w:tc>
          <w:tcPr>
            <w:tcW w:w="3600" w:type="dxa"/>
            <w:vAlign w:val="center"/>
            <w:shd w:val="clear" w:fill="E7E6E6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  <w:b/>
              </w:rPr>
              <w:t xml:space="preserve">标准</w:t>
            </w:r>
          </w:p>
        </w:tc>
        <w:tc>
          <w:tcPr>
            <w:tcW w:w="2506" w:type="dxa"/>
            <w:vAlign w:val="center"/>
            <w:shd w:val="clear" w:fill="E7E6E6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  <w:b/>
              </w:rPr>
              <w:t xml:space="preserve">实际结果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输入真实性</w:t>
            </w:r>
          </w:p>
        </w:tc>
        <w:tc>
          <w:tcPr>
            <w:tcW w:w="36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91 个文件哈希与固定提交一致</w:t>
            </w:r>
          </w:p>
        </w:tc>
        <w:tc>
          <w:tcPr>
            <w:tcW w:w="25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91/91 一致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范围内扫描覆盖</w:t>
            </w:r>
          </w:p>
        </w:tc>
        <w:tc>
          <w:tcPr>
            <w:tcW w:w="36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86 个核心文件及 5 个元数据文件全部处理</w:t>
            </w:r>
          </w:p>
        </w:tc>
        <w:tc>
          <w:tcPr>
            <w:tcW w:w="25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91/91 有输出，退出码 0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异常复核覆盖</w:t>
            </w:r>
          </w:p>
        </w:tc>
        <w:tc>
          <w:tcPr>
            <w:tcW w:w="36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复核全部 UNKNOWN、NONE 及混合标记</w:t>
            </w:r>
          </w:p>
        </w:tc>
        <w:tc>
          <w:tcPr>
            <w:tcW w:w="25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7/7 已复核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控制样本</w:t>
            </w:r>
          </w:p>
        </w:tc>
        <w:tc>
          <w:tcPr>
            <w:tcW w:w="3600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记录典型声明、无声明与简写声明的实际表现</w:t>
            </w:r>
          </w:p>
        </w:tc>
        <w:tc>
          <w:tcPr>
            <w:tcW w:w="2506" w:type="dxa"/>
            <w:vAlign w:val="center"/>
          </w:tcPr>
          <w:p>
            <w:pPr>
              <w:keepNext w:val="1"/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4/4 已执行，暴露 1 项支持局限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widowControl w:val="1"/>
              <w:snapToGrid w:val="0"/>
              <w:spacing w:line="300" w:lineRule="auto" w:before="0" w:after="0"/>
              <w:ind w:firstLine="0"/>
              <w:jc w:val="center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全项目发布审计</w:t>
            </w:r>
          </w:p>
        </w:tc>
        <w:tc>
          <w:tcPr>
            <w:tcW w:w="3600" w:type="dxa"/>
            <w:vAlign w:val="center"/>
          </w:tcPr>
          <w:p>
            <w:pPr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覆盖其他目录、依赖及实际发布包</w:t>
            </w:r>
          </w:p>
        </w:tc>
        <w:tc>
          <w:tcPr>
            <w:tcW w:w="2506" w:type="dxa"/>
            <w:vAlign w:val="center"/>
          </w:tcPr>
          <w:p>
            <w:pPr>
              <w:widowControl w:val="1"/>
              <w:snapToGrid w:val="0"/>
              <w:spacing w:line="300" w:lineRule="auto" w:before="0" w:after="0"/>
              <w:ind w:firstLine="0"/>
              <w:jc w:val="left"/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未达到；不作发布放行结论</w:t>
            </w:r>
          </w:p>
        </w:tc>
      </w:tr>
    </w:tbl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因此，本实验对“Gson 固定版本核心模块的文件级许可证声明识别与异常解释”已具备可复查的证据；对“完整项目及其分发物是否合规”仍不充分。本次未运行单元测试、性能测试或漏洞扫描，这些质量维度不属于许可证声明检测的已验证结论。</w:t>
      </w:r>
    </w:p>
    <w:p>
      <w:pPr>
        <w:keepNext w:val="1"/>
        <w:widowControl w:val="1"/>
        <w:snapToGrid w:val="0"/>
        <w:spacing w:before="100" w:after="120" w:line="300" w:lineRule="auto"/>
        <w:ind w:firstLine="0"/>
        <w:jc w:val="left"/>
        <w:rPr>
          <w:rFonts w:ascii="Times New Roman" w:hAnsi="Times New Roman" w:eastAsia="宋体" w:cs="Times New Roman"/>
          <w:sz w:val="21"/>
          <w:szCs w:val="21"/>
          <w:color w:val="000000"/>
          <w:b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  <w:b/>
        </w:rPr>
        <w:t xml:space="preserve">4.2 后续总体检查策略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建议将检查分成三个阶段。开发阶段固定依赖版本，登记来源、许可证及变更；合并阶段扫描新增或修改的文件，将新增 UNKNOWN、无声明和许可变化交给人工复核；发布阶段对照真实交付清单核对依赖、许可证副本及告知材料。只有复核确认的问题才按项目规则阻断，既防止遗漏，也避免被普通文档注释误报干扰。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下一轮验收标准应包括：4 个声明缺口均有明确处理记录；新增文件没有未经解释的许可变化；依赖清单与发布包成分一致；全部适用许可证和告知材料能够在交付物中找到。以上属于改进建议，本报告不声称已经执行。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本次分析表明，开源工具的价值在于快速定位和展示证据。Gson 核心模块的主要声明与 Apache-2.0 一致，实际发现集中在少量文件的独立声明缺失，以及句子规则对功能文档的误匹配。通过固定输入、控制样本和逐项复核，可以把工具标签转化为有边界、有依据的项目分析结论。</w:t>
      </w:r>
    </w:p>
    <w:p>
      <w:pPr>
        <w:keepNext w:val="1"/>
        <w:widowControl w:val="1"/>
        <w:snapToGrid w:val="0"/>
        <w:spacing w:before="100" w:after="120" w:line="300" w:lineRule="auto"/>
        <w:ind w:firstLine="0"/>
        <w:jc w:val="left"/>
        <w:rPr>
          <w:rFonts w:ascii="Times New Roman" w:hAnsi="Times New Roman" w:eastAsia="宋体" w:cs="Times New Roman"/>
          <w:sz w:val="21"/>
          <w:szCs w:val="21"/>
          <w:color w:val="000000"/>
          <w:b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  <w:b/>
        </w:rPr>
        <w:t xml:space="preserve">4.3 复现材料与参考来源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随附分析材料保留 manifest.json、summary.json、scan-raw.txt、scan-results.csv、scan-stderr.txt、control-results.txt、run_analysis.py 和复核中间文件。可先按 manifest.json 取得相同源码与工具版本、编译 comments，再在实验目录运行 python3 run_analysis.py。原始 NONE 和 UNKNOWN 均保留，不覆盖为人工结论。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资料核对日期为 2026年10月29日。以下链接指向仓库或官方原文；源代码个案均可在第 1.1 节的固定提交中按文件路径定位。</w:t>
      </w:r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hyperlink r:id="rIdReport1">
        <w:r>
          <w:rPr>
            <w:rFonts w:ascii="Times New Roman" w:hAnsi="Times New Roman" w:eastAsia="宋体" w:cs="Times New Roman"/>
            <w:sz w:val="21"/>
            <w:szCs w:val="21"/>
            <w:color w:val="000000"/>
          </w:rPr>
          <w:t xml:space="preserve">[1] Google Gson 2.13.2 固定提交的源码、README、LICENSE 与 POM</w:t>
        </w:r>
      </w:hyperlink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hyperlink r:id="rIdReport2">
        <w:r>
          <w:rPr>
            <w:rFonts w:ascii="Times New Roman" w:hAnsi="Times New Roman" w:eastAsia="宋体" w:cs="Times New Roman"/>
            <w:sz w:val="21"/>
            <w:szCs w:val="21"/>
            <w:color w:val="000000"/>
          </w:rPr>
          <w:t xml:space="preserve">[2] Ninka 固定提交的 README 与识别模块</w:t>
        </w:r>
      </w:hyperlink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hyperlink r:id="rIdReport3">
        <w:r>
          <w:rPr>
            <w:rFonts w:ascii="Times New Roman" w:hAnsi="Times New Roman" w:eastAsia="宋体" w:cs="Times New Roman"/>
            <w:sz w:val="21"/>
            <w:szCs w:val="21"/>
            <w:color w:val="000000"/>
          </w:rPr>
          <w:t xml:space="preserve">[3] IO CaptureOutput 1.1106 源码</w:t>
        </w:r>
      </w:hyperlink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hyperlink r:id="rIdReport4">
        <w:r>
          <w:rPr>
            <w:rFonts w:ascii="Times New Roman" w:hAnsi="Times New Roman" w:eastAsia="宋体" w:cs="Times New Roman"/>
            <w:sz w:val="21"/>
            <w:szCs w:val="21"/>
            <w:color w:val="000000"/>
          </w:rPr>
          <w:t xml:space="preserve">[4] Apache Software Foundation Apache License 2.0 原文</w:t>
        </w:r>
      </w:hyperlink>
    </w:p>
    <w:p>
      <w:pPr>
        <w:widowControl w:val="1"/>
        <w:snapToGrid w:val="0"/>
        <w:spacing w:line="300" w:lineRule="auto" w:before="0" w:after="70"/>
        <w:ind w:firstLine="420" w:firstLineChars="200"/>
        <w:jc w:val="left"/>
        <w:rPr>
          <w:rFonts w:ascii="Times New Roman" w:hAnsi="Times New Roman" w:eastAsia="宋体" w:cs="Times New Roman"/>
          <w:sz w:val="21"/>
          <w:szCs w:val="21"/>
          <w:color w:val="000000"/>
        </w:rPr>
      </w:pPr>
      <w:r>
        <w:rPr>
          <w:rFonts w:ascii="Times New Roman" w:hAnsi="Times New Roman" w:eastAsia="宋体" w:cs="Times New Roman"/>
          <w:sz w:val="21"/>
          <w:szCs w:val="21"/>
          <w:color w:val="000000"/>
        </w:rPr>
        <w:t xml:space="preserve">[5] 课程提供材料 33款开源许可合规工具逐条优缺点与选型手册 2026年10月 第2项 Ninka。</w:t>
      </w:r>
    </w:p>
    <w:p w14:paraId="369978CF">
      <w:pPr>
        <w:widowControl/>
        <w:jc w:val="left"/>
        <w:rPr>
          <w:rFonts w:ascii="仿宋_GB2312" w:hAnsi="宋体" w:eastAsia="仿宋_GB2312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8BC7205">
      <w:pPr>
        <w:widowControl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Report1" Type="http://schemas.openxmlformats.org/officeDocument/2006/relationships/hyperlink" Target="https://github.com/google/gson/tree/686fad782d969d8f15c7581a5435a208b810caa7" TargetMode="External"/><Relationship Id="rIdReport2" Type="http://schemas.openxmlformats.org/officeDocument/2006/relationships/hyperlink" Target="https://github.com/dmgerman/ninka/tree/b94e0d36669c4cc086856adf57bc67ced8f1aaf0" TargetMode="External"/><Relationship Id="rIdReport3" Type="http://schemas.openxmlformats.org/officeDocument/2006/relationships/hyperlink" Target="https://github.com/dagolden/IO-CaptureOutput/blob/ba4496a5931716cf45fd1de05e8c9949f5197015/lib/IO/CaptureOutput.pm" TargetMode="External"/><Relationship Id="rIdReport4" Type="http://schemas.openxmlformats.org/officeDocument/2006/relationships/hyperlink" Target="https://www.apache.org/licenses/LICENSE-2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364</Words>
  <Characters>401</Characters>
  <Lines>3</Lines>
  <Paragraphs>1</Paragraphs>
  <TotalTime>6</TotalTime>
  <ScaleCrop>false</ScaleCrop>
  <LinksUpToDate>false</LinksUpToDate>
  <CharactersWithSpaces>444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2023-08-22T04:51:00Z</dcterms:created>
  <dc:creator>微软用户</dc:creator>
  <cp:lastModifiedBy>依帆临水</cp:lastModifiedBy>
  <dcterms:modified xsi:type="dcterms:W3CDTF">2026-10-08T11:26:42Z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