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right" w:pos="9020" w:leader="none"/>
        </w:tabs>
        <w:spacing w:lineRule="auto" w:line="240" w:before="0" w:after="200"/>
        <w:jc w:val="end"/>
        <w:rPr>
          <w:rFonts w:ascii="Calibri" w:hAnsi="Calibri" w:eastAsia="Calibri" w:cs="Calibri"/>
          <w:b w:val="false"/>
          <w:bCs w:val="false"/>
          <w:color w:val="auto"/>
          <w:sz w:val="24"/>
          <w:szCs w:val="24"/>
        </w:rPr>
      </w:pPr>
      <w:r>
        <w:rPr>
          <w:rFonts w:eastAsia="Calibri" w:cs="Calibri" w:ascii="Calibri" w:hAnsi="Calibri"/>
          <w:b w:val="false"/>
          <w:bCs w:val="false"/>
          <w:color w:val="auto"/>
          <w:sz w:val="24"/>
          <w:szCs w:val="24"/>
        </w:rPr>
        <w:t>Claim number:</w:t>
      </w:r>
      <w:r>
        <w:rPr>
          <w:rFonts w:eastAsia="Calibri" w:cs="Calibri" w:ascii="Calibri" w:hAnsi="Calibri"/>
          <w:b w:val="false"/>
          <w:bCs w:val="false"/>
          <w:i w:val="false"/>
          <w:iCs w:val="false"/>
          <w:caps w:val="false"/>
          <w:smallCaps w:val="false"/>
          <w:color w:val="auto"/>
          <w:sz w:val="24"/>
          <w:szCs w:val="24"/>
          <w:lang w:val="en-GB"/>
        </w:rPr>
        <w:t xml:space="preserve"> M01LS598; 700MC593; 700MC944 and M01LS600</w:t>
      </w:r>
      <w:r>
        <w:rPr/>
        <w:br/>
      </w:r>
      <w:r>
        <w:rPr>
          <w:rFonts w:eastAsia="Calibri" w:cs="Calibri" w:ascii="Calibri" w:hAnsi="Calibri"/>
          <w:b w:val="false"/>
          <w:bCs w:val="false"/>
          <w:color w:val="auto"/>
          <w:sz w:val="24"/>
          <w:szCs w:val="24"/>
        </w:rPr>
        <w:t>Full name and address of Claimant and applicant: Abdul Alim</w:t>
      </w:r>
    </w:p>
    <w:p>
      <w:pPr>
        <w:pStyle w:val="Normal"/>
        <w:tabs>
          <w:tab w:val="left" w:pos="720" w:leader="none"/>
          <w:tab w:val="left" w:pos="1440" w:leader="none"/>
          <w:tab w:val="left" w:pos="2160" w:leader="none"/>
          <w:tab w:val="left" w:pos="2880" w:leader="none"/>
          <w:tab w:val="left" w:pos="3600" w:leader="none"/>
          <w:tab w:val="left" w:pos="4320" w:leader="none"/>
          <w:tab w:val="right" w:pos="9020" w:leader="none"/>
        </w:tabs>
        <w:spacing w:lineRule="auto" w:line="240" w:before="0" w:after="200"/>
        <w:jc w:val="end"/>
        <w:rPr>
          <w:rFonts w:ascii="Calibri" w:hAnsi="Calibri" w:eastAsia="Calibri" w:cs="Calibri"/>
          <w:b w:val="false"/>
          <w:bCs w:val="false"/>
          <w:color w:val="auto"/>
          <w:sz w:val="24"/>
          <w:szCs w:val="24"/>
        </w:rPr>
      </w:pPr>
      <w:r>
        <w:rPr>
          <w:rFonts w:eastAsia="Calibri" w:cs="Calibri" w:ascii="Calibri" w:hAnsi="Calibri"/>
          <w:b w:val="false"/>
          <w:bCs w:val="false"/>
          <w:color w:val="auto"/>
          <w:sz w:val="24"/>
          <w:szCs w:val="24"/>
        </w:rPr>
        <w:t>52 Blakeridge Mill</w:t>
      </w:r>
    </w:p>
    <w:p>
      <w:pPr>
        <w:pStyle w:val="Normal"/>
        <w:tabs>
          <w:tab w:val="left" w:pos="720" w:leader="none"/>
          <w:tab w:val="left" w:pos="1440" w:leader="none"/>
          <w:tab w:val="left" w:pos="2160" w:leader="none"/>
          <w:tab w:val="left" w:pos="2880" w:leader="none"/>
          <w:tab w:val="left" w:pos="3600" w:leader="none"/>
          <w:tab w:val="left" w:pos="4320" w:leader="none"/>
          <w:tab w:val="right" w:pos="9020" w:leader="none"/>
        </w:tabs>
        <w:spacing w:lineRule="auto" w:line="240" w:before="0" w:after="200"/>
        <w:jc w:val="end"/>
        <w:rPr>
          <w:rFonts w:ascii="Calibri" w:hAnsi="Calibri" w:eastAsia="Calibri" w:cs="Calibri"/>
          <w:b w:val="false"/>
          <w:bCs w:val="false"/>
          <w:color w:val="auto"/>
          <w:sz w:val="24"/>
          <w:szCs w:val="24"/>
        </w:rPr>
      </w:pPr>
      <w:r>
        <w:rPr>
          <w:rFonts w:eastAsia="Calibri" w:cs="Calibri" w:ascii="Calibri" w:hAnsi="Calibri"/>
          <w:b w:val="false"/>
          <w:bCs w:val="false"/>
          <w:color w:val="auto"/>
          <w:sz w:val="24"/>
          <w:szCs w:val="24"/>
        </w:rPr>
        <w:t>Batley</w:t>
      </w:r>
    </w:p>
    <w:p>
      <w:pPr>
        <w:pStyle w:val="Normal"/>
        <w:tabs>
          <w:tab w:val="left" w:pos="720" w:leader="none"/>
          <w:tab w:val="left" w:pos="1440" w:leader="none"/>
          <w:tab w:val="left" w:pos="2160" w:leader="none"/>
          <w:tab w:val="left" w:pos="2880" w:leader="none"/>
          <w:tab w:val="left" w:pos="3600" w:leader="none"/>
          <w:tab w:val="left" w:pos="4320" w:leader="none"/>
          <w:tab w:val="right" w:pos="9020" w:leader="none"/>
        </w:tabs>
        <w:spacing w:lineRule="auto" w:line="240" w:before="0" w:after="200"/>
        <w:jc w:val="end"/>
        <w:rPr>
          <w:rFonts w:ascii="Calibri" w:hAnsi="Calibri" w:eastAsia="Calibri" w:cs="Calibri"/>
          <w:b w:val="false"/>
          <w:bCs w:val="false"/>
          <w:color w:val="auto"/>
          <w:sz w:val="24"/>
          <w:szCs w:val="24"/>
        </w:rPr>
      </w:pPr>
      <w:r>
        <w:rPr>
          <w:rFonts w:eastAsia="Calibri" w:cs="Calibri" w:ascii="Calibri" w:hAnsi="Calibri"/>
          <w:b w:val="false"/>
          <w:bCs w:val="false"/>
          <w:color w:val="auto"/>
          <w:sz w:val="24"/>
          <w:szCs w:val="24"/>
        </w:rPr>
        <w:t>WF17 8RA</w:t>
      </w:r>
    </w:p>
    <w:p>
      <w:pPr>
        <w:pStyle w:val="Normal"/>
        <w:tabs>
          <w:tab w:val="left" w:pos="720" w:leader="none"/>
          <w:tab w:val="left" w:pos="1440" w:leader="none"/>
          <w:tab w:val="left" w:pos="2160" w:leader="none"/>
          <w:tab w:val="left" w:pos="2880" w:leader="none"/>
          <w:tab w:val="left" w:pos="3600" w:leader="none"/>
          <w:tab w:val="left" w:pos="4320" w:leader="none"/>
          <w:tab w:val="right" w:pos="9020" w:leader="none"/>
        </w:tabs>
        <w:spacing w:lineRule="auto" w:line="240" w:before="0" w:after="200"/>
        <w:jc w:val="end"/>
        <w:rPr>
          <w:rFonts w:ascii="Calibri" w:hAnsi="Calibri" w:eastAsia="Calibri" w:cs="Calibri"/>
          <w:b w:val="false"/>
          <w:bCs w:val="false"/>
          <w:color w:val="auto"/>
          <w:sz w:val="24"/>
          <w:szCs w:val="24"/>
        </w:rPr>
      </w:pPr>
      <w:r>
        <w:rPr>
          <w:rFonts w:eastAsia="Calibri" w:cs="Calibri" w:ascii="Calibri" w:hAnsi="Calibri"/>
          <w:b w:val="false"/>
          <w:bCs w:val="false"/>
          <w:color w:val="auto"/>
          <w:sz w:val="24"/>
          <w:szCs w:val="24"/>
        </w:rPr>
        <w:t>Date: 0</w:t>
      </w:r>
      <w:r>
        <w:rPr>
          <w:rFonts w:eastAsia="Calibri" w:cs="Calibri" w:ascii="Calibri" w:hAnsi="Calibri"/>
          <w:b w:val="false"/>
          <w:bCs w:val="false"/>
          <w:color w:val="auto"/>
          <w:sz w:val="24"/>
          <w:szCs w:val="24"/>
        </w:rPr>
        <w:t>5</w:t>
      </w:r>
      <w:r>
        <w:rPr>
          <w:rFonts w:eastAsia="Calibri" w:cs="Calibri" w:ascii="Calibri" w:hAnsi="Calibri"/>
          <w:b w:val="false"/>
          <w:bCs w:val="false"/>
          <w:color w:val="auto"/>
          <w:sz w:val="24"/>
          <w:szCs w:val="24"/>
        </w:rPr>
        <w:t>/02/2026</w:t>
      </w:r>
    </w:p>
    <w:p>
      <w:pPr>
        <w:pStyle w:val="Normal"/>
        <w:jc w:val="center"/>
        <w:rPr>
          <w:rFonts w:ascii="Calibri" w:hAnsi="Calibri" w:eastAsia="Calibri" w:cs="Calibri"/>
          <w:b/>
          <w:bCs/>
          <w:color w:val="auto"/>
          <w:sz w:val="24"/>
          <w:szCs w:val="24"/>
        </w:rPr>
      </w:pPr>
      <w:r>
        <w:rPr>
          <w:rFonts w:eastAsia="Calibri" w:cs="Calibri" w:ascii="Calibri" w:hAnsi="Calibri"/>
          <w:b/>
          <w:bCs/>
          <w:color w:val="auto"/>
          <w:sz w:val="24"/>
          <w:szCs w:val="24"/>
        </w:rPr>
        <w:t>Grounds of Appeal</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b/>
          <w:bCs/>
          <w:color w:val="auto"/>
          <w:sz w:val="24"/>
          <w:szCs w:val="24"/>
          <w:lang w:val="en-GB"/>
        </w:rPr>
        <w:t>1. Procedural Unfairness and Inequality of Arms (Article 6 ECHR)</w:t>
      </w:r>
      <w:r>
        <w:rPr>
          <w:rFonts w:eastAsia="Calibri" w:cs="Calibri" w:ascii="Calibri" w:hAnsi="Calibri"/>
          <w:color w:val="auto"/>
          <w:sz w:val="24"/>
          <w:szCs w:val="24"/>
          <w:lang w:val="en-GB"/>
        </w:rPr>
        <w:t xml:space="preserve"> The District Judge failed to ensure a fair hearing, resulting in a material breach of the Appellant’s right to a fair trial under Article 6 of the European Convention on Human Rights and common law principles of natural justice.</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b/>
          <w:bCs/>
          <w:color w:val="auto"/>
          <w:sz w:val="24"/>
          <w:szCs w:val="24"/>
          <w:lang w:val="en-GB"/>
        </w:rPr>
        <w:t>1.1. Late Service of Evidence:</w:t>
      </w:r>
      <w:r>
        <w:rPr>
          <w:rFonts w:eastAsia="Calibri" w:cs="Calibri" w:ascii="Calibri" w:hAnsi="Calibri"/>
          <w:color w:val="auto"/>
          <w:sz w:val="24"/>
          <w:szCs w:val="24"/>
          <w:lang w:val="en-GB"/>
        </w:rPr>
        <w:t xml:space="preserve"> The Respondent served additional bundles and material on the day of the hearing. While the Judge adjourned briefly to read this material, the Appellant—a Litigant in Person—was not provided a copy nor given reasonable time to read, consider, or respond to it.</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b/>
          <w:bCs/>
          <w:color w:val="auto"/>
          <w:sz w:val="24"/>
          <w:szCs w:val="24"/>
          <w:lang w:val="en-GB"/>
        </w:rPr>
        <w:t>1.2. Denial of Opportunity to Respond:</w:t>
      </w:r>
      <w:r>
        <w:rPr>
          <w:rFonts w:eastAsia="Calibri" w:cs="Calibri" w:ascii="Calibri" w:hAnsi="Calibri"/>
          <w:color w:val="auto"/>
          <w:sz w:val="24"/>
          <w:szCs w:val="24"/>
          <w:lang w:val="en-GB"/>
        </w:rPr>
        <w:t xml:space="preserve"> The Judge permitted the Respondent to make extensive submissions based on this unseen material. The Appellant was effectively ambushed and denied the right to be heard (</w:t>
      </w:r>
      <w:r>
        <w:rPr>
          <w:rFonts w:eastAsia="Calibri" w:cs="Calibri" w:ascii="Calibri" w:hAnsi="Calibri"/>
          <w:i/>
          <w:iCs/>
          <w:color w:val="auto"/>
          <w:sz w:val="24"/>
          <w:szCs w:val="24"/>
          <w:lang w:val="en-GB"/>
        </w:rPr>
        <w:t>audi alteram partem</w:t>
      </w:r>
      <w:r>
        <w:rPr>
          <w:rFonts w:eastAsia="Calibri" w:cs="Calibri" w:ascii="Calibri" w:hAnsi="Calibri"/>
          <w:color w:val="auto"/>
          <w:sz w:val="24"/>
          <w:szCs w:val="24"/>
          <w:lang w:val="en-GB"/>
        </w:rPr>
        <w:t>) regarding this new evidence.</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color w:val="auto"/>
          <w:sz w:val="24"/>
          <w:szCs w:val="24"/>
          <w:lang w:val="en-GB"/>
        </w:rPr>
        <w:t xml:space="preserve">1.3. </w:t>
      </w:r>
      <w:r>
        <w:rPr>
          <w:rFonts w:eastAsia="Calibri" w:cs="Calibri" w:ascii="Calibri" w:hAnsi="Calibri"/>
          <w:b/>
          <w:bCs/>
          <w:color w:val="auto"/>
          <w:sz w:val="24"/>
          <w:szCs w:val="24"/>
          <w:lang w:val="en-GB"/>
        </w:rPr>
        <w:t>Imbalance of Representation:</w:t>
      </w:r>
      <w:r>
        <w:rPr>
          <w:rFonts w:eastAsia="Calibri" w:cs="Calibri" w:ascii="Calibri" w:hAnsi="Calibri"/>
          <w:color w:val="auto"/>
          <w:sz w:val="24"/>
          <w:szCs w:val="24"/>
          <w:lang w:val="en-GB"/>
        </w:rPr>
        <w:t xml:space="preserve"> The Appellant faced four legal representatives for the Respondent. The Judge failed to apply the Equal Treatment Bench Book guidelines to ensure the unrepresented Appellant was not intimidated or disadvantaged by this disparity.</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b/>
          <w:bCs/>
          <w:color w:val="auto"/>
          <w:sz w:val="24"/>
          <w:szCs w:val="24"/>
          <w:lang w:val="en-GB"/>
        </w:rPr>
        <w:t>2. Improper Expansion of Scope (Procedural Irregularity)</w:t>
      </w:r>
      <w:r>
        <w:rPr>
          <w:rFonts w:eastAsia="Calibri" w:cs="Calibri" w:ascii="Calibri" w:hAnsi="Calibri"/>
          <w:color w:val="auto"/>
          <w:sz w:val="24"/>
          <w:szCs w:val="24"/>
          <w:lang w:val="en-GB"/>
        </w:rPr>
        <w:t xml:space="preserve"> The Judge erred in expanding the scope of the hearing beyond the application listed.</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color w:val="auto"/>
          <w:sz w:val="24"/>
          <w:szCs w:val="24"/>
          <w:lang w:val="en-GB"/>
        </w:rPr>
        <w:t>2.1. The hearing was listed specifically for the Respondent’s Strike Out application.</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color w:val="auto"/>
          <w:sz w:val="24"/>
          <w:szCs w:val="24"/>
          <w:lang w:val="en-GB"/>
        </w:rPr>
        <w:t>2.2 During the hearing, the Judge and Respondent addressed, at length, the consolidation of multiple cases. The Appellant had received no formal application notice regarding consolidation.</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color w:val="auto"/>
          <w:sz w:val="24"/>
          <w:szCs w:val="24"/>
          <w:lang w:val="en-GB"/>
        </w:rPr>
        <w:t>2.3. When the Appellant objected, the Judge dismissed the concern by citing a single sentence "inviting" consolidation buried within the Respondent’s 500-page bundle. This does not constitute adequate notice.</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color w:val="auto"/>
          <w:sz w:val="24"/>
          <w:szCs w:val="24"/>
          <w:lang w:val="en-GB"/>
        </w:rPr>
        <w:t>2.4. Addressing complex case management issues without prior notice caused significant prejudice to the Appellant, who had prepared solely for the Strike Out application.</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b/>
          <w:bCs/>
          <w:color w:val="auto"/>
          <w:sz w:val="24"/>
          <w:szCs w:val="24"/>
          <w:lang w:val="en-GB"/>
        </w:rPr>
        <w:t>3. Premature Determination of Factual Issues</w:t>
      </w:r>
      <w:r>
        <w:rPr>
          <w:rFonts w:eastAsia="Calibri" w:cs="Calibri" w:ascii="Calibri" w:hAnsi="Calibri"/>
          <w:color w:val="auto"/>
          <w:sz w:val="24"/>
          <w:szCs w:val="24"/>
          <w:lang w:val="en-GB"/>
        </w:rPr>
        <w:t xml:space="preserve"> The Judge erred in law and practice by treating an interlocutory hearing as a final determination of facts.</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color w:val="auto"/>
          <w:sz w:val="24"/>
          <w:szCs w:val="24"/>
          <w:lang w:val="en-GB"/>
        </w:rPr>
        <w:t>3.1. The Judge drew adverse inferences from an alleged "absence of evidence" from the Appellant.</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color w:val="auto"/>
          <w:sz w:val="24"/>
          <w:szCs w:val="24"/>
          <w:lang w:val="en-GB"/>
        </w:rPr>
        <w:t>3.2. At this interlocutory stage, no directions for the filing of evidence had yet been made. It was procedurally wrong to penalize the Appellant for not providing evidence that had not yet been ordered.</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b/>
          <w:bCs/>
          <w:color w:val="auto"/>
          <w:sz w:val="24"/>
          <w:szCs w:val="24"/>
          <w:lang w:val="en-GB"/>
        </w:rPr>
        <w:t>4. Failure to Consider Litigant in Person Status and Vulnerabilities</w:t>
      </w:r>
      <w:r>
        <w:rPr>
          <w:rFonts w:eastAsia="Calibri" w:cs="Calibri" w:ascii="Calibri" w:hAnsi="Calibri"/>
          <w:color w:val="auto"/>
          <w:sz w:val="24"/>
          <w:szCs w:val="24"/>
          <w:lang w:val="en-GB"/>
        </w:rPr>
        <w:t xml:space="preserve"> The Judge failed to make reasonable adjustments for the Appellant’s known disabilities, specifically ADHD, Generalised Anxiety Disorder, and depression.</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color w:val="auto"/>
          <w:sz w:val="24"/>
          <w:szCs w:val="24"/>
          <w:lang w:val="en-GB"/>
        </w:rPr>
        <w:t>4.1. These conditions affect the Appellant’s ability to process information rapidly under stress.</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color w:val="auto"/>
          <w:sz w:val="24"/>
          <w:szCs w:val="24"/>
          <w:lang w:val="en-GB"/>
        </w:rPr>
        <w:t>4.2. By permitting ‘ambush’ tactics regarding late evidence and changing the scope of the hearing without notice, the Judge exacerbated these vulnerabilities, rendering the Appellant unable to participate effectively.</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b/>
          <w:bCs/>
          <w:color w:val="auto"/>
          <w:sz w:val="24"/>
          <w:szCs w:val="24"/>
          <w:lang w:val="en-GB"/>
        </w:rPr>
        <w:t>5. Apparent Bias</w:t>
      </w:r>
      <w:r>
        <w:rPr>
          <w:rFonts w:eastAsia="Calibri" w:cs="Calibri" w:ascii="Calibri" w:hAnsi="Calibri"/>
          <w:color w:val="auto"/>
          <w:sz w:val="24"/>
          <w:szCs w:val="24"/>
          <w:lang w:val="en-GB"/>
        </w:rPr>
        <w:t xml:space="preserve"> The conduct of the hearing gives rise to a legitimate concern of apparent bias.</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color w:val="auto"/>
          <w:sz w:val="24"/>
          <w:szCs w:val="24"/>
          <w:lang w:val="en-GB"/>
        </w:rPr>
        <w:t>5.1. The Judge’s acceptance of late-served material without ensuring the Appellant had seen it;</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color w:val="auto"/>
          <w:sz w:val="24"/>
          <w:szCs w:val="24"/>
          <w:lang w:val="en-GB"/>
        </w:rPr>
        <w:t>5.2. The dismissal of the Appellant’s legitimate procedural objections; and c. The apparent alignment with the Respondent’s unexpected shift in legal strategy.</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color w:val="auto"/>
          <w:sz w:val="24"/>
          <w:szCs w:val="24"/>
          <w:lang w:val="en-GB"/>
        </w:rPr>
        <w:t>5.3 A fair-minded and informed observer, having considered the facts, would conclude that there was a real possibility that the tribunal was biased.</w:t>
      </w:r>
    </w:p>
    <w:p>
      <w:pPr>
        <w:pStyle w:val="Heading3"/>
        <w:spacing w:beforeAutospacing="0" w:before="281" w:afterAutospacing="0" w:after="281"/>
        <w:rPr>
          <w:rFonts w:ascii="Calibri" w:hAnsi="Calibri" w:eastAsia="Calibri" w:cs="Calibri"/>
          <w:b/>
          <w:bCs/>
          <w:color w:val="auto"/>
          <w:sz w:val="24"/>
          <w:szCs w:val="24"/>
          <w:lang w:val="en-GB"/>
        </w:rPr>
      </w:pPr>
      <w:r>
        <w:rPr>
          <w:rFonts w:eastAsia="Calibri" w:cs="Calibri" w:ascii="Calibri" w:hAnsi="Calibri"/>
          <w:b/>
          <w:bCs/>
          <w:color w:val="auto"/>
          <w:sz w:val="24"/>
          <w:szCs w:val="24"/>
          <w:lang w:val="en-GB"/>
        </w:rPr>
        <w:t>APPLICATION FOR A STAY AND RECUSAL</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b/>
          <w:bCs/>
          <w:color w:val="auto"/>
          <w:sz w:val="24"/>
          <w:szCs w:val="24"/>
          <w:lang w:val="en-GB"/>
        </w:rPr>
        <w:t>6. Request for Stay of Execution</w:t>
      </w:r>
      <w:r>
        <w:rPr>
          <w:rFonts w:eastAsia="Calibri" w:cs="Calibri" w:ascii="Calibri" w:hAnsi="Calibri"/>
          <w:color w:val="auto"/>
          <w:sz w:val="24"/>
          <w:szCs w:val="24"/>
          <w:lang w:val="en-GB"/>
        </w:rPr>
        <w:t xml:space="preserve"> I respectfully apply for a stay of the hearing currently listed for 9 February 2026.</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color w:val="auto"/>
          <w:sz w:val="24"/>
          <w:szCs w:val="24"/>
          <w:lang w:val="en-GB"/>
        </w:rPr>
        <w:t xml:space="preserve">6.1. Proceeding with the hearing on 9 February would cause further prejudice while this appeal regarding the fundamental fairness of the previous order is pending. </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color w:val="auto"/>
          <w:sz w:val="24"/>
          <w:szCs w:val="24"/>
          <w:lang w:val="en-GB"/>
        </w:rPr>
        <w:t>6.2 A stay is necessary to ensure proceedings are conducted fairly and in accordance with the overriding objective.</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b/>
          <w:bCs/>
          <w:color w:val="auto"/>
          <w:sz w:val="24"/>
          <w:szCs w:val="24"/>
          <w:lang w:val="en-GB"/>
        </w:rPr>
        <w:t>7. Request for Recusal / Listing Restrictions</w:t>
      </w:r>
      <w:r>
        <w:rPr>
          <w:rFonts w:eastAsia="Calibri" w:cs="Calibri" w:ascii="Calibri" w:hAnsi="Calibri"/>
          <w:color w:val="auto"/>
          <w:sz w:val="24"/>
          <w:szCs w:val="24"/>
          <w:lang w:val="en-GB"/>
        </w:rPr>
        <w:t xml:space="preserve"> I request that this matter, and any future hearings, be listed before a different Judge.</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color w:val="auto"/>
          <w:sz w:val="24"/>
          <w:szCs w:val="24"/>
          <w:lang w:val="en-GB"/>
        </w:rPr>
        <w:t>7.1. Due to the procedural irregularities and apparent bias outlined in Ground 5 above, the Appellant has lost confidence in Judge Geddes’ impartiality.</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color w:val="auto"/>
          <w:sz w:val="24"/>
          <w:szCs w:val="24"/>
          <w:lang w:val="en-GB"/>
        </w:rPr>
        <w:t>7.2. Reassignment is necessary to preserve public confidence in the administration of justice.</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b/>
          <w:bCs/>
          <w:color w:val="auto"/>
          <w:sz w:val="24"/>
          <w:szCs w:val="24"/>
          <w:lang w:val="en-GB"/>
        </w:rPr>
        <w:t>8. Extension of Time (If applicable)</w:t>
      </w:r>
      <w:r>
        <w:rPr>
          <w:rFonts w:eastAsia="Calibri" w:cs="Calibri" w:ascii="Calibri" w:hAnsi="Calibri"/>
          <w:color w:val="auto"/>
          <w:sz w:val="24"/>
          <w:szCs w:val="24"/>
          <w:lang w:val="en-GB"/>
        </w:rPr>
        <w:t xml:space="preserve"> The Appellant is a Litigant in Person suffering from diagnosed medical conditions (ADHD, Anxiety) which affect processing speed and organization. The complexity of gathering evidence and learning legal procedures independently has resulted in a short, unavoidable delay in filing this appeal. I respectfully request the Court exercise its discretion to allow this appeal to proceed.</w:t>
      </w:r>
    </w:p>
    <w:p>
      <w:pPr>
        <w:pStyle w:val="Normal"/>
        <w:spacing w:beforeAutospacing="0" w:before="240" w:afterAutospacing="0" w:after="240"/>
        <w:rPr>
          <w:rFonts w:ascii="Calibri" w:hAnsi="Calibri" w:eastAsia="Calibri" w:cs="Calibri"/>
          <w:color w:val="auto"/>
          <w:sz w:val="24"/>
          <w:szCs w:val="24"/>
          <w:lang w:val="en-GB"/>
        </w:rPr>
      </w:pPr>
      <w:r>
        <w:rPr>
          <w:rFonts w:eastAsia="Calibri" w:cs="Calibri" w:ascii="Calibri" w:hAnsi="Calibri"/>
          <w:color w:val="auto"/>
          <w:sz w:val="24"/>
          <w:szCs w:val="24"/>
          <w:lang w:val="en-GB"/>
        </w:rPr>
      </w:r>
    </w:p>
    <w:p>
      <w:pPr>
        <w:pStyle w:val="Normal"/>
        <w:spacing w:beforeAutospacing="0" w:before="240" w:afterAutospacing="0" w:after="240"/>
        <w:rPr>
          <w:rFonts w:ascii="Calibri" w:hAnsi="Calibri" w:eastAsia="Calibri" w:cs="Calibri"/>
          <w:b/>
          <w:bCs/>
          <w:color w:val="auto"/>
          <w:sz w:val="24"/>
          <w:szCs w:val="24"/>
          <w:lang w:val="en-GB"/>
        </w:rPr>
      </w:pPr>
      <w:r>
        <w:rPr>
          <w:rFonts w:eastAsia="Calibri" w:cs="Calibri" w:ascii="Calibri" w:hAnsi="Calibri"/>
          <w:b/>
          <w:bCs/>
          <w:color w:val="auto"/>
          <w:sz w:val="24"/>
          <w:szCs w:val="24"/>
          <w:lang w:val="en-GB"/>
        </w:rPr>
        <w:t>9. Evidence attached</w:t>
      </w:r>
    </w:p>
    <w:p>
      <w:pPr>
        <w:pStyle w:val="Normal"/>
        <w:spacing w:beforeAutospacing="0" w:before="240" w:afterAutospacing="0" w:after="240"/>
        <w:rPr>
          <w:rFonts w:ascii="Calibri" w:hAnsi="Calibri" w:eastAsia="Calibri" w:cs="Calibri"/>
          <w:b/>
          <w:bCs/>
          <w:color w:val="auto"/>
          <w:sz w:val="24"/>
          <w:szCs w:val="24"/>
          <w:lang w:val="en-GB"/>
        </w:rPr>
      </w:pPr>
      <w:r>
        <w:rPr>
          <w:rFonts w:eastAsia="Calibri" w:cs="Calibri" w:ascii="Calibri" w:hAnsi="Calibri"/>
          <w:b/>
          <w:bCs/>
          <w:color w:val="auto"/>
          <w:sz w:val="24"/>
          <w:szCs w:val="24"/>
          <w:lang w:val="en-GB"/>
        </w:rPr>
        <w:t>9.1 Abdul Alim - Assessment Letter 23-10-24_241024</w:t>
      </w:r>
    </w:p>
    <w:p>
      <w:pPr>
        <w:pStyle w:val="Normal"/>
        <w:spacing w:beforeAutospacing="0" w:before="240" w:afterAutospacing="0" w:after="240"/>
        <w:rPr>
          <w:rFonts w:ascii="Calibri" w:hAnsi="Calibri" w:eastAsia="Calibri" w:cs="Calibri"/>
          <w:b w:val="false"/>
          <w:bCs w:val="false"/>
          <w:color w:val="auto"/>
          <w:sz w:val="24"/>
          <w:szCs w:val="24"/>
          <w:lang w:val="en-GB"/>
        </w:rPr>
      </w:pPr>
      <w:r>
        <w:rPr>
          <w:rFonts w:eastAsia="Calibri" w:cs="Calibri" w:ascii="Calibri" w:hAnsi="Calibri"/>
          <w:b w:val="false"/>
          <w:bCs w:val="false"/>
          <w:color w:val="auto"/>
          <w:sz w:val="24"/>
          <w:szCs w:val="24"/>
          <w:lang w:val="en-GB"/>
        </w:rPr>
        <w:t>A licensed assessment and diagnosis of my conditions.</w:t>
      </w:r>
    </w:p>
    <w:p>
      <w:pPr>
        <w:pStyle w:val="Normal"/>
        <w:spacing w:beforeAutospacing="0" w:before="240" w:afterAutospacing="0" w:after="240"/>
        <w:rPr>
          <w:rFonts w:ascii="Calibri" w:hAnsi="Calibri" w:eastAsia="Calibri" w:cs="Calibri"/>
          <w:b/>
          <w:bCs/>
          <w:color w:val="auto"/>
          <w:sz w:val="24"/>
          <w:szCs w:val="24"/>
          <w:lang w:val="en-GB"/>
        </w:rPr>
      </w:pPr>
      <w:r>
        <w:rPr>
          <w:rFonts w:eastAsia="Calibri" w:cs="Calibri" w:ascii="Calibri" w:hAnsi="Calibri"/>
          <w:b/>
          <w:bCs/>
          <w:color w:val="auto"/>
          <w:sz w:val="24"/>
          <w:szCs w:val="24"/>
          <w:lang w:val="en-GB"/>
        </w:rPr>
        <w:t>9.2 ADHD NHS evidence</w:t>
      </w:r>
    </w:p>
    <w:p>
      <w:pPr>
        <w:pStyle w:val="Normal"/>
        <w:spacing w:beforeAutospacing="0" w:before="240" w:afterAutospacing="0" w:after="240"/>
        <w:rPr>
          <w:rFonts w:ascii="Calibri" w:hAnsi="Calibri" w:eastAsia="Calibri" w:cs="Calibri"/>
          <w:b w:val="false"/>
          <w:bCs w:val="false"/>
          <w:color w:val="auto"/>
          <w:sz w:val="24"/>
          <w:szCs w:val="24"/>
          <w:lang w:val="en-GB"/>
        </w:rPr>
      </w:pPr>
      <w:r>
        <w:rPr>
          <w:rFonts w:eastAsia="Calibri" w:cs="Calibri" w:ascii="Calibri" w:hAnsi="Calibri"/>
          <w:b w:val="false"/>
          <w:bCs w:val="false"/>
          <w:color w:val="auto"/>
          <w:sz w:val="24"/>
          <w:szCs w:val="24"/>
          <w:lang w:val="en-GB"/>
        </w:rPr>
        <w:t>The NHS recognising this diagnosis</w:t>
      </w:r>
    </w:p>
    <w:p>
      <w:pPr>
        <w:pStyle w:val="Normal"/>
        <w:spacing w:beforeAutospacing="0" w:before="240" w:afterAutospacing="0" w:after="240"/>
        <w:rPr>
          <w:rFonts w:ascii="Calibri" w:hAnsi="Calibri" w:eastAsia="Calibri" w:cs="Calibri"/>
          <w:b/>
          <w:bCs/>
          <w:color w:val="auto"/>
          <w:sz w:val="24"/>
          <w:szCs w:val="24"/>
          <w:lang w:val="en-GB"/>
        </w:rPr>
      </w:pPr>
      <w:r>
        <w:rPr>
          <w:rFonts w:eastAsia="Calibri" w:cs="Calibri" w:ascii="Calibri" w:hAnsi="Calibri"/>
          <w:b/>
          <w:bCs/>
          <w:color w:val="auto"/>
          <w:sz w:val="24"/>
          <w:szCs w:val="24"/>
          <w:lang w:val="en-GB"/>
        </w:rPr>
        <w:t>9.3 c_users_rebecca.goggins1_appdata_local_temp_emiswebdocs7812_to_whom_it_may_concern_letter_written_alim__abdul__mr__0849_01-aug-2025</w:t>
      </w:r>
    </w:p>
    <w:p>
      <w:pPr>
        <w:pStyle w:val="Normal"/>
        <w:spacing w:beforeAutospacing="0" w:before="240" w:afterAutospacing="0" w:after="240"/>
        <w:rPr>
          <w:rFonts w:ascii="Calibri" w:hAnsi="Calibri" w:eastAsia="Calibri" w:cs="Calibri"/>
          <w:b w:val="false"/>
          <w:bCs w:val="false"/>
          <w:color w:val="auto"/>
          <w:sz w:val="24"/>
          <w:szCs w:val="24"/>
          <w:lang w:val="en-GB"/>
        </w:rPr>
      </w:pPr>
      <w:r>
        <w:rPr>
          <w:rFonts w:eastAsia="Calibri" w:cs="Calibri" w:ascii="Calibri" w:hAnsi="Calibri"/>
          <w:b w:val="false"/>
          <w:bCs w:val="false"/>
          <w:color w:val="auto"/>
          <w:sz w:val="24"/>
          <w:szCs w:val="24"/>
          <w:lang w:val="en-GB"/>
        </w:rPr>
        <w:t>My doctor’s note talking about my mental health</w:t>
      </w:r>
    </w:p>
    <w:p>
      <w:pPr>
        <w:pStyle w:val="Normal"/>
        <w:rPr>
          <w:rFonts w:ascii="Calibri" w:hAnsi="Calibri" w:eastAsia="Calibri" w:cs="Calibri"/>
          <w:b/>
          <w:bCs/>
          <w:color w:val="auto"/>
          <w:sz w:val="24"/>
          <w:szCs w:val="24"/>
          <w:lang w:val="en-GB"/>
        </w:rPr>
      </w:pPr>
      <w:r>
        <w:rPr>
          <w:rFonts w:eastAsia="Calibri" w:cs="Calibri" w:ascii="Calibri" w:hAnsi="Calibri"/>
          <w:b/>
          <w:bCs/>
          <w:color w:val="auto"/>
          <w:sz w:val="24"/>
          <w:szCs w:val="24"/>
          <w:lang w:val="en-GB"/>
        </w:rPr>
        <w:t>9.4 c__programdata_sds_version6_applications_emisweb client_ewc_9.30.1.0000 (278233)_temp_fitnote_d1833445-548a-45bd-9e93-b741672d3964(1)</w:t>
      </w:r>
    </w:p>
    <w:p>
      <w:pPr>
        <w:pStyle w:val="Normal"/>
        <w:spacing w:before="0" w:after="160"/>
        <w:rPr>
          <w:rFonts w:ascii="Calibri" w:hAnsi="Calibri" w:eastAsia="Calibri" w:cs="Calibri"/>
          <w:b w:val="false"/>
          <w:bCs w:val="false"/>
          <w:color w:val="auto"/>
          <w:sz w:val="24"/>
          <w:szCs w:val="24"/>
          <w:lang w:val="en-GB"/>
        </w:rPr>
      </w:pPr>
      <w:r>
        <w:rPr>
          <w:rFonts w:eastAsia="Calibri" w:cs="Calibri" w:ascii="Calibri" w:hAnsi="Calibri"/>
          <w:b w:val="false"/>
          <w:bCs w:val="false"/>
          <w:color w:val="auto"/>
          <w:sz w:val="24"/>
          <w:szCs w:val="24"/>
          <w:lang w:val="en-GB"/>
        </w:rPr>
        <w:t>Doctor’s note signing off my sickness from work</w:t>
      </w:r>
    </w:p>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GB"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start"/>
    </w:pPr>
    <w:rPr>
      <w:rFonts w:ascii="Aptos" w:hAnsi="Aptos" w:eastAsia="" w:cs="" w:asciiTheme="minorHAnsi" w:cstheme="minorBidi" w:eastAsiaTheme="minorEastAsia" w:hAnsiTheme="minorHAnsi"/>
      <w:color w:val="auto"/>
      <w:kern w:val="0"/>
      <w:sz w:val="24"/>
      <w:szCs w:val="24"/>
      <w:lang w:val="en-GB" w:eastAsia="ja-JP" w:bidi="ar-SA"/>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 w:cs="" w:cstheme="majorBidi" w:eastAsiaTheme="majorEastAsia"/>
      <w:color w:themeColor="accent1" w:themeShade="bf" w:val="0F4761"/>
      <w:sz w:val="28"/>
      <w:szCs w:val="28"/>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uiPriority w:val="9"/>
    <w:qFormat/>
    <w:rPr>
      <w:rFonts w:eastAsia="" w:cs="" w:cstheme="majorBidi" w:eastAsiaTheme="majorEastAsia"/>
      <w:color w:themeColor="accent1" w:themeShade="bf" w:val="0F4761"/>
      <w:sz w:val="28"/>
      <w:szCs w:val="28"/>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LibreOffice/25.8.3.2$Windows_X86_64 LibreOffice_project/8ca8d55c161d602844f5428fa4b58097424e324e</Application>
  <AppVersion>15.0000</AppVersion>
  <Pages>3</Pages>
  <Words>772</Words>
  <Characters>4602</Characters>
  <CharactersWithSpaces>5331</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2026-02-01T16:12:52Z</dcterms:created>
  <dc:creator>Abdul Alim</dc:creator>
  <dc:description/>
  <dc:language>en-GB</dc:language>
  <cp:lastModifiedBy/>
  <dcterms:modified xsi:type="dcterms:W3CDTF">2026-02-05T12:08:04Z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