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81AFC" w:rsidRDefault="00381AFC" w:rsidP="00B66A51">
      <w:pPr>
        <w:rPr>
          <w:lang w:val="sv-SE"/>
        </w:rPr>
      </w:pPr>
      <w:r>
        <w:rPr>
          <w:lang w:val="sv-SE"/>
        </w:rPr>
        <w:t>Hej!</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285012">
        <w:rPr>
          <w:lang w:val="sv-SE"/>
        </w:rPr>
        <w:t xml:space="preserve"> antal attribut.</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A52B49"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bookmarkStart w:id="0" w:name="_GoBack"/>
      <w:bookmarkEnd w:id="0"/>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xml:space="preserve">. Ett lågt värde innebär att vi har hög cohesion, vilket är önsvärt. Högt cohesion innebär att vi har bra koppling mellan </w:t>
      </w:r>
      <w:r w:rsidR="00FA6071">
        <w:rPr>
          <w:lang w:val="sv-SE"/>
        </w:rPr>
        <w:t>metoderna och dess attribut.</w:t>
      </w:r>
    </w:p>
    <w:p w:rsidR="00FA6071" w:rsidRDefault="00102AB4" w:rsidP="004D4171">
      <w:pPr>
        <w:rPr>
          <w:lang w:val="sv-SE"/>
        </w:rPr>
      </w:pPr>
      <w:r>
        <w:rPr>
          <w:lang w:val="sv-SE"/>
        </w:rPr>
        <w:t xml:space="preserve">Efferent Coupling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9D2B33" w:rsidRDefault="009D2B33" w:rsidP="004D4171">
      <w:pPr>
        <w:rPr>
          <w:lang w:val="sv-SE"/>
        </w:rPr>
      </w:pPr>
      <w:r>
        <w:rPr>
          <w:lang w:val="sv-SE"/>
        </w:rPr>
        <w:t>Vi valde statement coverage som täckningsgrad. Vi har uppnått 100% täckning. Vi använde oss av ÄckelEmma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fungerande byggscript. Den kommer förmodligen att vara den slutliga.</w:t>
      </w:r>
    </w:p>
    <w:p w:rsidR="007944B8" w:rsidRPr="006E4A83" w:rsidRDefault="007944B8" w:rsidP="007944B8">
      <w:pPr>
        <w:autoSpaceDE w:val="0"/>
        <w:autoSpaceDN w:val="0"/>
        <w:adjustRightInd w:val="0"/>
        <w:spacing w:after="0" w:line="240" w:lineRule="auto"/>
        <w:rPr>
          <w:rFonts w:ascii="Consolas" w:hAnsi="Consolas" w:cs="Consolas"/>
          <w:sz w:val="18"/>
          <w:szCs w:val="18"/>
          <w:lang w:val="sv-SE" w:bidi="ar-SA"/>
        </w:rPr>
      </w:pPr>
      <w:r w:rsidRPr="006E4A83">
        <w:rPr>
          <w:rFonts w:ascii="Consolas" w:hAnsi="Consolas" w:cs="Consolas"/>
          <w:color w:val="808080"/>
          <w:sz w:val="18"/>
          <w:szCs w:val="18"/>
          <w:lang w:val="sv-SE" w:bidi="ar-SA"/>
        </w:rPr>
        <w:t>&lt;?xml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47F" w:rsidRDefault="00EC747F" w:rsidP="00443A87">
      <w:pPr>
        <w:spacing w:after="0" w:line="240" w:lineRule="auto"/>
      </w:pPr>
      <w:r>
        <w:separator/>
      </w:r>
    </w:p>
  </w:endnote>
  <w:endnote w:type="continuationSeparator" w:id="0">
    <w:p w:rsidR="00EC747F" w:rsidRDefault="00EC747F"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AB1B58" w:rsidRDefault="00AB1B58">
        <w:pPr>
          <w:pStyle w:val="Footer"/>
          <w:jc w:val="center"/>
        </w:pPr>
        <w:r>
          <w:fldChar w:fldCharType="begin"/>
        </w:r>
        <w:r>
          <w:instrText xml:space="preserve"> PAGE   \* MERGEFORMAT </w:instrText>
        </w:r>
        <w:r>
          <w:fldChar w:fldCharType="separate"/>
        </w:r>
        <w:r w:rsidR="00C53854">
          <w:rPr>
            <w:noProof/>
          </w:rPr>
          <w:t>18</w:t>
        </w:r>
        <w:r>
          <w:rPr>
            <w:noProof/>
          </w:rPr>
          <w:fldChar w:fldCharType="end"/>
        </w:r>
      </w:p>
    </w:sdtContent>
  </w:sdt>
  <w:p w:rsidR="00AB1B58" w:rsidRDefault="00AB1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47F" w:rsidRDefault="00EC747F" w:rsidP="00443A87">
      <w:pPr>
        <w:spacing w:after="0" w:line="240" w:lineRule="auto"/>
      </w:pPr>
      <w:r>
        <w:separator/>
      </w:r>
    </w:p>
  </w:footnote>
  <w:footnote w:type="continuationSeparator" w:id="0">
    <w:p w:rsidR="00EC747F" w:rsidRDefault="00EC747F"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450FB"/>
    <w:rsid w:val="00091CFE"/>
    <w:rsid w:val="000B26A7"/>
    <w:rsid w:val="000B50E0"/>
    <w:rsid w:val="00102AB4"/>
    <w:rsid w:val="001042F6"/>
    <w:rsid w:val="001102CD"/>
    <w:rsid w:val="001212BA"/>
    <w:rsid w:val="001257FF"/>
    <w:rsid w:val="00135503"/>
    <w:rsid w:val="00141E81"/>
    <w:rsid w:val="001544CF"/>
    <w:rsid w:val="001575E7"/>
    <w:rsid w:val="001672A3"/>
    <w:rsid w:val="001877F7"/>
    <w:rsid w:val="00194091"/>
    <w:rsid w:val="001E2498"/>
    <w:rsid w:val="00236D8A"/>
    <w:rsid w:val="00256C05"/>
    <w:rsid w:val="0026078B"/>
    <w:rsid w:val="002672D1"/>
    <w:rsid w:val="002754AD"/>
    <w:rsid w:val="00285012"/>
    <w:rsid w:val="002A73D6"/>
    <w:rsid w:val="002D78B7"/>
    <w:rsid w:val="002F1DE5"/>
    <w:rsid w:val="002F49A4"/>
    <w:rsid w:val="00306F0B"/>
    <w:rsid w:val="003142F3"/>
    <w:rsid w:val="0031457D"/>
    <w:rsid w:val="0033750D"/>
    <w:rsid w:val="003604AD"/>
    <w:rsid w:val="003750BD"/>
    <w:rsid w:val="003800FC"/>
    <w:rsid w:val="00381AFC"/>
    <w:rsid w:val="003823D0"/>
    <w:rsid w:val="003F3154"/>
    <w:rsid w:val="003F614F"/>
    <w:rsid w:val="003F7464"/>
    <w:rsid w:val="00400190"/>
    <w:rsid w:val="00410047"/>
    <w:rsid w:val="00413FF9"/>
    <w:rsid w:val="004400CD"/>
    <w:rsid w:val="0044036D"/>
    <w:rsid w:val="00443A87"/>
    <w:rsid w:val="00451443"/>
    <w:rsid w:val="004639D7"/>
    <w:rsid w:val="0046738A"/>
    <w:rsid w:val="004979BA"/>
    <w:rsid w:val="004D4171"/>
    <w:rsid w:val="004E2053"/>
    <w:rsid w:val="00507BAE"/>
    <w:rsid w:val="005157E3"/>
    <w:rsid w:val="005308E4"/>
    <w:rsid w:val="005532C5"/>
    <w:rsid w:val="00554262"/>
    <w:rsid w:val="005569AE"/>
    <w:rsid w:val="005640E2"/>
    <w:rsid w:val="00565334"/>
    <w:rsid w:val="00585A79"/>
    <w:rsid w:val="00592C42"/>
    <w:rsid w:val="005C24E1"/>
    <w:rsid w:val="005C69D6"/>
    <w:rsid w:val="005C7797"/>
    <w:rsid w:val="006145D2"/>
    <w:rsid w:val="00641938"/>
    <w:rsid w:val="00654D52"/>
    <w:rsid w:val="00662BF9"/>
    <w:rsid w:val="006642F2"/>
    <w:rsid w:val="00681853"/>
    <w:rsid w:val="006A2E4A"/>
    <w:rsid w:val="006A45BD"/>
    <w:rsid w:val="006C7286"/>
    <w:rsid w:val="006E4A83"/>
    <w:rsid w:val="006F5045"/>
    <w:rsid w:val="00701655"/>
    <w:rsid w:val="0072378D"/>
    <w:rsid w:val="00745DAF"/>
    <w:rsid w:val="0076090A"/>
    <w:rsid w:val="00784276"/>
    <w:rsid w:val="007944B8"/>
    <w:rsid w:val="007A2571"/>
    <w:rsid w:val="007B0F57"/>
    <w:rsid w:val="007D47B5"/>
    <w:rsid w:val="00800741"/>
    <w:rsid w:val="008313BA"/>
    <w:rsid w:val="00835F6C"/>
    <w:rsid w:val="00853CDC"/>
    <w:rsid w:val="00880D6A"/>
    <w:rsid w:val="008A48C4"/>
    <w:rsid w:val="008A66CD"/>
    <w:rsid w:val="008E143D"/>
    <w:rsid w:val="0093725A"/>
    <w:rsid w:val="00942FD1"/>
    <w:rsid w:val="009457A1"/>
    <w:rsid w:val="00956A48"/>
    <w:rsid w:val="009963F2"/>
    <w:rsid w:val="009A47E6"/>
    <w:rsid w:val="009C07FC"/>
    <w:rsid w:val="009D2B33"/>
    <w:rsid w:val="00A40804"/>
    <w:rsid w:val="00A52B49"/>
    <w:rsid w:val="00A65C4F"/>
    <w:rsid w:val="00A72D61"/>
    <w:rsid w:val="00A86A29"/>
    <w:rsid w:val="00AA5F50"/>
    <w:rsid w:val="00AB1B58"/>
    <w:rsid w:val="00AC2576"/>
    <w:rsid w:val="00AC6C30"/>
    <w:rsid w:val="00B05AE6"/>
    <w:rsid w:val="00B27019"/>
    <w:rsid w:val="00B275ED"/>
    <w:rsid w:val="00B66A51"/>
    <w:rsid w:val="00B87890"/>
    <w:rsid w:val="00BC0EAA"/>
    <w:rsid w:val="00BC65BC"/>
    <w:rsid w:val="00C02C91"/>
    <w:rsid w:val="00C200EF"/>
    <w:rsid w:val="00C424C9"/>
    <w:rsid w:val="00C45DC8"/>
    <w:rsid w:val="00C53854"/>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B72BB"/>
    <w:rsid w:val="00DF4508"/>
    <w:rsid w:val="00E01AE1"/>
    <w:rsid w:val="00EC1C62"/>
    <w:rsid w:val="00EC747F"/>
    <w:rsid w:val="00EF3FE1"/>
    <w:rsid w:val="00EF6931"/>
    <w:rsid w:val="00F22B35"/>
    <w:rsid w:val="00F36A88"/>
    <w:rsid w:val="00F445D2"/>
    <w:rsid w:val="00F5081F"/>
    <w:rsid w:val="00FA6071"/>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00A9F-16E0-4C96-8B92-5F9AED96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23</Pages>
  <Words>2225</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107</cp:revision>
  <cp:lastPrinted>2014-09-19T11:15:00Z</cp:lastPrinted>
  <dcterms:created xsi:type="dcterms:W3CDTF">2014-09-19T11:20:00Z</dcterms:created>
  <dcterms:modified xsi:type="dcterms:W3CDTF">2014-10-29T11:45:00Z</dcterms:modified>
</cp:coreProperties>
</file>