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1E1E"/>
          <w:sz w:val="40"/>
        </w:rPr>
        <w:t>HTTPS and Encryption Checklist</w:t>
      </w:r>
    </w:p>
    <w:p>
      <w:r>
        <w:rPr>
          <w:b/>
          <w:i w:val="0"/>
          <w:color w:val="646464"/>
          <w:sz w:val="18"/>
        </w:rPr>
        <w:t xml:space="preserve">Document ID: </w:t>
      </w:r>
      <w:r>
        <w:rPr>
          <w:b w:val="0"/>
          <w:i w:val="0"/>
          <w:color w:val="1E1E1E"/>
          <w:sz w:val="18"/>
        </w:rPr>
        <w:t xml:space="preserve">HEC-001    </w:t>
      </w:r>
      <w:r>
        <w:rPr>
          <w:b/>
          <w:i w:val="0"/>
          <w:color w:val="646464"/>
          <w:sz w:val="18"/>
        </w:rPr>
        <w:t xml:space="preserve">Version: </w:t>
      </w:r>
      <w:r>
        <w:rPr>
          <w:b w:val="0"/>
          <w:i w:val="0"/>
          <w:color w:val="1E1E1E"/>
          <w:sz w:val="18"/>
        </w:rPr>
        <w:t xml:space="preserve">1.1    </w:t>
      </w:r>
      <w:r>
        <w:rPr>
          <w:b/>
          <w:i w:val="0"/>
          <w:color w:val="646464"/>
          <w:sz w:val="18"/>
        </w:rPr>
        <w:t xml:space="preserve">Date: </w:t>
      </w:r>
      <w:r>
        <w:rPr>
          <w:b w:val="0"/>
          <w:i w:val="0"/>
          <w:color w:val="1E1E1E"/>
          <w:sz w:val="18"/>
        </w:rPr>
        <w:t xml:space="preserve">April 27, 2026    </w:t>
      </w:r>
      <w:r>
        <w:rPr>
          <w:b/>
          <w:i w:val="0"/>
          <w:color w:val="646464"/>
          <w:sz w:val="18"/>
        </w:rPr>
        <w:t xml:space="preserve">Project: </w:t>
      </w:r>
      <w:r>
        <w:rPr>
          <w:b w:val="0"/>
          <w:i w:val="0"/>
          <w:color w:val="1E1E1E"/>
          <w:sz w:val="18"/>
        </w:rPr>
        <w:t xml:space="preserve">Product Intelligence Platform    </w:t>
      </w:r>
      <w:r>
        <w:rPr>
          <w:b/>
          <w:i w:val="0"/>
          <w:color w:val="646464"/>
          <w:sz w:val="18"/>
        </w:rPr>
        <w:t xml:space="preserve">Owner: </w:t>
      </w:r>
      <w:r>
        <w:rPr>
          <w:b w:val="0"/>
          <w:i w:val="0"/>
          <w:color w:val="1E1E1E"/>
          <w:sz w:val="18"/>
        </w:rPr>
        <w:t xml:space="preserve">Integers Insights    </w:t>
      </w:r>
      <w:r>
        <w:rPr>
          <w:b/>
          <w:i w:val="0"/>
          <w:color w:val="646464"/>
          <w:sz w:val="18"/>
        </w:rPr>
        <w:t xml:space="preserve">Classification: </w:t>
      </w:r>
      <w:r>
        <w:rPr>
          <w:b w:val="0"/>
          <w:i w:val="0"/>
          <w:color w:val="1E1E1E"/>
          <w:sz w:val="18"/>
        </w:rPr>
        <w:t xml:space="preserve">Internal — Confidential    </w:t>
      </w:r>
    </w:p>
    <w:p/>
    <w:p>
      <w:pPr>
        <w:spacing w:before="280" w:after="80"/>
      </w:pPr>
      <w:r>
        <w:rPr>
          <w:b/>
          <w:i w:val="0"/>
          <w:color w:val="0052CC"/>
          <w:sz w:val="18"/>
        </w:rPr>
        <w:t>1. SCOPE</w:t>
      </w:r>
    </w:p>
    <w:p>
      <w:pPr>
        <w:spacing w:before="40" w:after="40"/>
        <w:ind w:left="0"/>
      </w:pPr>
      <w:r>
        <w:rPr>
          <w:b w:val="0"/>
          <w:i w:val="0"/>
          <w:color w:val="1E1E1E"/>
          <w:sz w:val="20"/>
        </w:rPr>
        <w:t>This checklist covers all encryption and HTTPS controls for the Product Intelligence Platform across three layers:</w:t>
      </w:r>
    </w:p>
    <w:p>
      <w:pPr>
        <w:spacing w:before="40" w:after="40"/>
        <w:ind w:left="283"/>
      </w:pPr>
      <w:r>
        <w:rPr>
          <w:b w:val="0"/>
          <w:i w:val="0"/>
          <w:color w:val="1E1E1E"/>
          <w:sz w:val="20"/>
        </w:rPr>
        <w:t>•  Data in Transit — all network communication between clients, backend, and external APIs.</w:t>
      </w:r>
    </w:p>
    <w:p>
      <w:pPr>
        <w:spacing w:before="40" w:after="40"/>
        <w:ind w:left="283"/>
      </w:pPr>
      <w:r>
        <w:rPr>
          <w:b w:val="0"/>
          <w:i w:val="0"/>
          <w:color w:val="1E1E1E"/>
          <w:sz w:val="20"/>
        </w:rPr>
        <w:t>•  Data at Rest — database storage, backups, and server-side files.</w:t>
      </w:r>
    </w:p>
    <w:p>
      <w:pPr>
        <w:spacing w:before="40" w:after="40"/>
        <w:ind w:left="283"/>
      </w:pPr>
      <w:r>
        <w:rPr>
          <w:b w:val="0"/>
          <w:i w:val="0"/>
          <w:color w:val="1E1E1E"/>
          <w:sz w:val="20"/>
        </w:rPr>
        <w:t>•  Secrets &amp; Key Management — API keys, JWT secrets, and credentials stored in environment variables.</w:t>
      </w:r>
    </w:p>
    <w:p>
      <w:pPr>
        <w:spacing w:before="40" w:after="40"/>
        <w:ind w:left="0"/>
      </w:pPr>
      <w:r>
        <w:rPr>
          <w:b w:val="0"/>
          <w:i w:val="0"/>
          <w:color w:val="1E1E1E"/>
          <w:sz w:val="20"/>
        </w:rPr>
        <w:t>Applicability: Development environment (current) and Production (target). Items marked [PROD] are not yet applicable but must be resolved before production deployment.</w:t>
      </w:r>
    </w:p>
    <w:p>
      <w:pPr>
        <w:spacing w:before="280" w:after="80"/>
      </w:pPr>
      <w:r>
        <w:rPr>
          <w:b/>
          <w:i w:val="0"/>
          <w:color w:val="0052CC"/>
          <w:sz w:val="18"/>
        </w:rPr>
        <w:t>2. DATA IN TRANSIT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A1A2E"/>
          </w:tcPr>
          <w:p>
            <w:r>
              <w:rPr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2436"/>
            <w:shd w:val="clear" w:color="auto" w:fill="1A1A2E"/>
          </w:tcPr>
          <w:p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  <w:tc>
          <w:tcPr>
            <w:tcW w:type="dxa" w:w="2436"/>
            <w:shd w:val="clear" w:color="auto" w:fill="1A1A2E"/>
          </w:tcPr>
          <w:p>
            <w:r>
              <w:rPr>
                <w:b/>
                <w:i w:val="0"/>
                <w:color w:val="FFFFFF"/>
                <w:sz w:val="18"/>
              </w:rPr>
              <w:t>Dev Status</w:t>
            </w:r>
          </w:p>
        </w:tc>
        <w:tc>
          <w:tcPr>
            <w:tcW w:type="dxa" w:w="2436"/>
            <w:shd w:val="clear" w:color="auto" w:fill="1A1A2E"/>
          </w:tcPr>
          <w:p>
            <w:r>
              <w:rPr>
                <w:b/>
                <w:i w:val="0"/>
                <w:color w:val="FFFFFF"/>
                <w:sz w:val="18"/>
              </w:rPr>
              <w:t>Prod Target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1E1E1E"/>
                <w:sz w:val="20"/>
              </w:rPr>
              <w:t>All backend API endpoints served over HTTPS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1E1E1E"/>
                <w:sz w:val="20"/>
              </w:rPr>
              <w:t>FastAPI served via HTTPS; HTTP redirected to HTTPS at reverse proxy level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B46400"/>
                <w:sz w:val="20"/>
              </w:rPr>
              <w:t>In Progress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/>
                <w:i w:val="0"/>
                <w:color w:val="B42828"/>
                <w:sz w:val="20"/>
              </w:rPr>
              <w:t>Required</w:t>
            </w:r>
          </w:p>
        </w:tc>
      </w:tr>
      <w:tr>
        <w:tc>
          <w:tcPr>
            <w:tcW w:type="dxa" w:w="2436"/>
            <w:shd w:val="clear" w:color="auto" w:fill="F9F9F9"/>
          </w:tcPr>
          <w:p>
            <w:r>
              <w:rPr>
                <w:b w:val="0"/>
                <w:i w:val="0"/>
                <w:color w:val="1E1E1E"/>
                <w:sz w:val="20"/>
              </w:rPr>
              <w:t>TLS version minimum: 1.2</w:t>
            </w:r>
          </w:p>
        </w:tc>
        <w:tc>
          <w:tcPr>
            <w:tcW w:type="dxa" w:w="2436"/>
            <w:shd w:val="clear" w:color="auto" w:fill="F9F9F9"/>
          </w:tcPr>
          <w:p>
            <w:r>
              <w:rPr>
                <w:b w:val="0"/>
                <w:i w:val="0"/>
                <w:color w:val="1E1E1E"/>
                <w:sz w:val="20"/>
              </w:rPr>
              <w:t>TLS 1.0 and 1.1 disabled; TLS 1.2+ enforced at load balancer / nginx</w:t>
            </w:r>
          </w:p>
        </w:tc>
        <w:tc>
          <w:tcPr>
            <w:tcW w:type="dxa" w:w="2436"/>
            <w:shd w:val="clear" w:color="auto" w:fill="F9F9F9"/>
          </w:tcPr>
          <w:p>
            <w:r>
              <w:rPr>
                <w:b w:val="0"/>
                <w:i w:val="0"/>
                <w:color w:val="B46400"/>
                <w:sz w:val="20"/>
              </w:rPr>
              <w:t>In Progress</w:t>
            </w:r>
          </w:p>
        </w:tc>
        <w:tc>
          <w:tcPr>
            <w:tcW w:type="dxa" w:w="2436"/>
            <w:shd w:val="clear" w:color="auto" w:fill="F9F9F9"/>
          </w:tcPr>
          <w:p>
            <w:r>
              <w:rPr>
                <w:b/>
                <w:i w:val="0"/>
                <w:color w:val="B42828"/>
                <w:sz w:val="20"/>
              </w:rPr>
              <w:t>Required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1E1E1E"/>
                <w:sz w:val="20"/>
              </w:rPr>
              <w:t>TLS certificate installed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1E1E1E"/>
                <w:sz w:val="20"/>
              </w:rPr>
              <w:t>Let's Encrypt or cloud provider cert (AWS ACM / GCP); auto-renew enabled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B46400"/>
                <w:sz w:val="20"/>
              </w:rPr>
              <w:t>In Progress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/>
                <w:i w:val="0"/>
                <w:color w:val="B42828"/>
                <w:sz w:val="20"/>
              </w:rPr>
              <w:t>Required</w:t>
            </w:r>
          </w:p>
        </w:tc>
      </w:tr>
      <w:tr>
        <w:tc>
          <w:tcPr>
            <w:tcW w:type="dxa" w:w="2436"/>
            <w:shd w:val="clear" w:color="auto" w:fill="F9F9F9"/>
          </w:tcPr>
          <w:p>
            <w:r>
              <w:rPr>
                <w:b w:val="0"/>
                <w:i w:val="0"/>
                <w:color w:val="1E1E1E"/>
                <w:sz w:val="20"/>
              </w:rPr>
              <w:t>HTTP → HTTPS redirect enforced</w:t>
            </w:r>
          </w:p>
        </w:tc>
        <w:tc>
          <w:tcPr>
            <w:tcW w:type="dxa" w:w="2436"/>
            <w:shd w:val="clear" w:color="auto" w:fill="F9F9F9"/>
          </w:tcPr>
          <w:p>
            <w:r>
              <w:rPr>
                <w:b w:val="0"/>
                <w:i w:val="0"/>
                <w:color w:val="1E1E1E"/>
                <w:sz w:val="20"/>
              </w:rPr>
              <w:t>301 redirect on port 80; HSTS header set (max-age ≥ 31536000)</w:t>
            </w:r>
          </w:p>
        </w:tc>
        <w:tc>
          <w:tcPr>
            <w:tcW w:type="dxa" w:w="2436"/>
            <w:shd w:val="clear" w:color="auto" w:fill="F9F9F9"/>
          </w:tcPr>
          <w:p>
            <w:r>
              <w:rPr>
                <w:b w:val="0"/>
                <w:i w:val="0"/>
                <w:color w:val="B46400"/>
                <w:sz w:val="20"/>
              </w:rPr>
              <w:t>In Progress</w:t>
            </w:r>
          </w:p>
        </w:tc>
        <w:tc>
          <w:tcPr>
            <w:tcW w:type="dxa" w:w="2436"/>
            <w:shd w:val="clear" w:color="auto" w:fill="F9F9F9"/>
          </w:tcPr>
          <w:p>
            <w:r>
              <w:rPr>
                <w:b/>
                <w:i w:val="0"/>
                <w:color w:val="B42828"/>
                <w:sz w:val="20"/>
              </w:rPr>
              <w:t>Required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1E1E1E"/>
                <w:sz w:val="20"/>
              </w:rPr>
              <w:t>Frontend ↔ Backend (FastAPI) — HTTPS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1E1E1E"/>
                <w:sz w:val="20"/>
              </w:rPr>
              <w:t>FRONTEND_URL env var must be HTTPS in production; all fetch/axios calls use relative or HTTPS URLs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B46400"/>
                <w:sz w:val="20"/>
              </w:rPr>
              <w:t>In Progress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/>
                <w:i w:val="0"/>
                <w:color w:val="B42828"/>
                <w:sz w:val="20"/>
              </w:rPr>
              <w:t>Required</w:t>
            </w:r>
          </w:p>
        </w:tc>
      </w:tr>
      <w:tr>
        <w:tc>
          <w:tcPr>
            <w:tcW w:type="dxa" w:w="2436"/>
            <w:shd w:val="clear" w:color="auto" w:fill="F9F9F9"/>
          </w:tcPr>
          <w:p>
            <w:r>
              <w:rPr>
                <w:b w:val="0"/>
                <w:i w:val="0"/>
                <w:color w:val="1E1E1E"/>
                <w:sz w:val="20"/>
              </w:rPr>
              <w:t>Backend ↔ PostgreSQL — SSL</w:t>
            </w:r>
          </w:p>
        </w:tc>
        <w:tc>
          <w:tcPr>
            <w:tcW w:type="dxa" w:w="2436"/>
            <w:shd w:val="clear" w:color="auto" w:fill="F9F9F9"/>
          </w:tcPr>
          <w:p>
            <w:r>
              <w:rPr>
                <w:b w:val="0"/>
                <w:i w:val="0"/>
                <w:color w:val="1E1E1E"/>
                <w:sz w:val="20"/>
              </w:rPr>
              <w:t>DATABASE_URL must include ?sslmode=require; asyncpg pool configured accordingly</w:t>
            </w:r>
          </w:p>
        </w:tc>
        <w:tc>
          <w:tcPr>
            <w:tcW w:type="dxa" w:w="2436"/>
            <w:shd w:val="clear" w:color="auto" w:fill="F9F9F9"/>
          </w:tcPr>
          <w:p>
            <w:r>
              <w:rPr>
                <w:b w:val="0"/>
                <w:i w:val="0"/>
                <w:color w:val="B42828"/>
                <w:sz w:val="20"/>
              </w:rPr>
              <w:t>Not Confirmed</w:t>
            </w:r>
          </w:p>
        </w:tc>
        <w:tc>
          <w:tcPr>
            <w:tcW w:type="dxa" w:w="2436"/>
            <w:shd w:val="clear" w:color="auto" w:fill="F9F9F9"/>
          </w:tcPr>
          <w:p>
            <w:r>
              <w:rPr>
                <w:b/>
                <w:i w:val="0"/>
                <w:color w:val="B42828"/>
                <w:sz w:val="20"/>
              </w:rPr>
              <w:t>Required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1E1E1E"/>
                <w:sz w:val="20"/>
              </w:rPr>
              <w:t>Backend ↔ OpenAI API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1E1E1E"/>
                <w:sz w:val="20"/>
              </w:rPr>
              <w:t>All calls via openai Python SDK over HTTPS (TLS enforced by SDK)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008C46"/>
                <w:sz w:val="20"/>
              </w:rPr>
              <w:t>Compliant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/>
                <w:i w:val="0"/>
                <w:color w:val="008C46"/>
                <w:sz w:val="20"/>
              </w:rPr>
              <w:t>Compliant</w:t>
            </w:r>
          </w:p>
        </w:tc>
      </w:tr>
      <w:tr>
        <w:tc>
          <w:tcPr>
            <w:tcW w:type="dxa" w:w="2436"/>
            <w:shd w:val="clear" w:color="auto" w:fill="F9F9F9"/>
          </w:tcPr>
          <w:p>
            <w:r>
              <w:rPr>
                <w:b w:val="0"/>
                <w:i w:val="0"/>
                <w:color w:val="1E1E1E"/>
                <w:sz w:val="20"/>
              </w:rPr>
              <w:t>Backend ↔ Perplexity / Sonar API</w:t>
            </w:r>
          </w:p>
        </w:tc>
        <w:tc>
          <w:tcPr>
            <w:tcW w:type="dxa" w:w="2436"/>
            <w:shd w:val="clear" w:color="auto" w:fill="F9F9F9"/>
          </w:tcPr>
          <w:p>
            <w:r>
              <w:rPr>
                <w:b w:val="0"/>
                <w:i w:val="0"/>
                <w:color w:val="1E1E1E"/>
                <w:sz w:val="20"/>
              </w:rPr>
              <w:t>All calls via openai-compatible client over HTTPS</w:t>
            </w:r>
          </w:p>
        </w:tc>
        <w:tc>
          <w:tcPr>
            <w:tcW w:type="dxa" w:w="2436"/>
            <w:shd w:val="clear" w:color="auto" w:fill="F9F9F9"/>
          </w:tcPr>
          <w:p>
            <w:r>
              <w:rPr>
                <w:b w:val="0"/>
                <w:i w:val="0"/>
                <w:color w:val="008C46"/>
                <w:sz w:val="20"/>
              </w:rPr>
              <w:t>Compliant</w:t>
            </w:r>
          </w:p>
        </w:tc>
        <w:tc>
          <w:tcPr>
            <w:tcW w:type="dxa" w:w="2436"/>
            <w:shd w:val="clear" w:color="auto" w:fill="F9F9F9"/>
          </w:tcPr>
          <w:p>
            <w:r>
              <w:rPr>
                <w:b/>
                <w:i w:val="0"/>
                <w:color w:val="008C46"/>
                <w:sz w:val="20"/>
              </w:rPr>
              <w:t>Compliant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1E1E1E"/>
                <w:sz w:val="20"/>
              </w:rPr>
              <w:t>Backend ↔ UN Comtrade API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1E1E1E"/>
                <w:sz w:val="20"/>
              </w:rPr>
              <w:t>All calls via requests over HTTPS; API key sent in header (Ocp-Apim-Subscription-Key), not query string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008C46"/>
                <w:sz w:val="20"/>
              </w:rPr>
              <w:t>Compliant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/>
                <w:i w:val="0"/>
                <w:color w:val="008C46"/>
                <w:sz w:val="20"/>
              </w:rPr>
              <w:t>Compliant</w:t>
            </w:r>
          </w:p>
        </w:tc>
      </w:tr>
      <w:tr>
        <w:tc>
          <w:tcPr>
            <w:tcW w:type="dxa" w:w="2436"/>
            <w:shd w:val="clear" w:color="auto" w:fill="F9F9F9"/>
          </w:tcPr>
          <w:p>
            <w:r>
              <w:rPr>
                <w:b w:val="0"/>
                <w:i w:val="0"/>
                <w:color w:val="1E1E1E"/>
                <w:sz w:val="20"/>
              </w:rPr>
              <w:t>Backend ↔ Apollo API</w:t>
            </w:r>
          </w:p>
        </w:tc>
        <w:tc>
          <w:tcPr>
            <w:tcW w:type="dxa" w:w="2436"/>
            <w:shd w:val="clear" w:color="auto" w:fill="F9F9F9"/>
          </w:tcPr>
          <w:p>
            <w:r>
              <w:rPr>
                <w:b w:val="0"/>
                <w:i w:val="0"/>
                <w:color w:val="1E1E1E"/>
                <w:sz w:val="20"/>
              </w:rPr>
              <w:t>All calls over HTTPS; key stored in env var APOLLO_API_KEY</w:t>
            </w:r>
          </w:p>
        </w:tc>
        <w:tc>
          <w:tcPr>
            <w:tcW w:type="dxa" w:w="2436"/>
            <w:shd w:val="clear" w:color="auto" w:fill="F9F9F9"/>
          </w:tcPr>
          <w:p>
            <w:r>
              <w:rPr>
                <w:b w:val="0"/>
                <w:i w:val="0"/>
                <w:color w:val="008C46"/>
                <w:sz w:val="20"/>
              </w:rPr>
              <w:t>Compliant</w:t>
            </w:r>
          </w:p>
        </w:tc>
        <w:tc>
          <w:tcPr>
            <w:tcW w:type="dxa" w:w="2436"/>
            <w:shd w:val="clear" w:color="auto" w:fill="F9F9F9"/>
          </w:tcPr>
          <w:p>
            <w:r>
              <w:rPr>
                <w:b/>
                <w:i w:val="0"/>
                <w:color w:val="008C46"/>
                <w:sz w:val="20"/>
              </w:rPr>
              <w:t>Compliant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1E1E1E"/>
                <w:sz w:val="20"/>
              </w:rPr>
              <w:t>Backend ↔ AWS SES (Email)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1E1E1E"/>
                <w:sz w:val="20"/>
              </w:rPr>
              <w:t>boto3 SDK uses HTTPS by default; AWS_ACCESS_KEY_ID / AWS_SECRET_ACCESS_KEY in env only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008C46"/>
                <w:sz w:val="20"/>
              </w:rPr>
              <w:t>Compliant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/>
                <w:i w:val="0"/>
                <w:color w:val="008C46"/>
                <w:sz w:val="20"/>
              </w:rPr>
              <w:t>Compliant</w:t>
            </w:r>
          </w:p>
        </w:tc>
      </w:tr>
      <w:tr>
        <w:tc>
          <w:tcPr>
            <w:tcW w:type="dxa" w:w="2436"/>
            <w:shd w:val="clear" w:color="auto" w:fill="F9F9F9"/>
          </w:tcPr>
          <w:p>
            <w:r>
              <w:rPr>
                <w:b w:val="0"/>
                <w:i w:val="0"/>
                <w:color w:val="1E1E1E"/>
                <w:sz w:val="20"/>
              </w:rPr>
              <w:t>Backend ↔ Google Ads API</w:t>
            </w:r>
          </w:p>
        </w:tc>
        <w:tc>
          <w:tcPr>
            <w:tcW w:type="dxa" w:w="2436"/>
            <w:shd w:val="clear" w:color="auto" w:fill="F9F9F9"/>
          </w:tcPr>
          <w:p>
            <w:r>
              <w:rPr>
                <w:b w:val="0"/>
                <w:i w:val="0"/>
                <w:color w:val="1E1E1E"/>
                <w:sz w:val="20"/>
              </w:rPr>
              <w:t>google-ads SDK uses gRPC over TLS; credentials from google_ads.yaml — file must never be committed</w:t>
            </w:r>
          </w:p>
        </w:tc>
        <w:tc>
          <w:tcPr>
            <w:tcW w:type="dxa" w:w="2436"/>
            <w:shd w:val="clear" w:color="auto" w:fill="F9F9F9"/>
          </w:tcPr>
          <w:p>
            <w:r>
              <w:rPr>
                <w:b w:val="0"/>
                <w:i w:val="0"/>
                <w:color w:val="008C46"/>
                <w:sz w:val="20"/>
              </w:rPr>
              <w:t>Compliant</w:t>
            </w:r>
          </w:p>
        </w:tc>
        <w:tc>
          <w:tcPr>
            <w:tcW w:type="dxa" w:w="2436"/>
            <w:shd w:val="clear" w:color="auto" w:fill="F9F9F9"/>
          </w:tcPr>
          <w:p>
            <w:r>
              <w:rPr>
                <w:b/>
                <w:i w:val="0"/>
                <w:color w:val="008C46"/>
                <w:sz w:val="20"/>
              </w:rPr>
              <w:t>Compliant</w:t>
            </w:r>
          </w:p>
        </w:tc>
      </w:tr>
    </w:tbl>
    <w:p>
      <w:pPr>
        <w:spacing w:before="280" w:after="80"/>
      </w:pPr>
      <w:r>
        <w:rPr>
          <w:b/>
          <w:i w:val="0"/>
          <w:color w:val="0052CC"/>
          <w:sz w:val="18"/>
        </w:rPr>
        <w:t>3. DATA AT REST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A1A2E"/>
          </w:tcPr>
          <w:p>
            <w:r>
              <w:rPr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2436"/>
            <w:shd w:val="clear" w:color="auto" w:fill="1A1A2E"/>
          </w:tcPr>
          <w:p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  <w:tc>
          <w:tcPr>
            <w:tcW w:type="dxa" w:w="2436"/>
            <w:shd w:val="clear" w:color="auto" w:fill="1A1A2E"/>
          </w:tcPr>
          <w:p>
            <w:r>
              <w:rPr>
                <w:b/>
                <w:i w:val="0"/>
                <w:color w:val="FFFFFF"/>
                <w:sz w:val="18"/>
              </w:rPr>
              <w:t>Dev Status</w:t>
            </w:r>
          </w:p>
        </w:tc>
        <w:tc>
          <w:tcPr>
            <w:tcW w:type="dxa" w:w="2436"/>
            <w:shd w:val="clear" w:color="auto" w:fill="1A1A2E"/>
          </w:tcPr>
          <w:p>
            <w:r>
              <w:rPr>
                <w:b/>
                <w:i w:val="0"/>
                <w:color w:val="FFFFFF"/>
                <w:sz w:val="18"/>
              </w:rPr>
              <w:t>Prod Target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1E1E1E"/>
                <w:sz w:val="20"/>
              </w:rPr>
              <w:t>PostgreSQL encryption at rest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1E1E1E"/>
                <w:sz w:val="20"/>
              </w:rPr>
              <w:t>Requires cloud provider disk encryption enabled on DB instance (AWS RDS / Supabase). Verify in provider console.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B46400"/>
                <w:sz w:val="20"/>
              </w:rPr>
              <w:t>In Progress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/>
                <w:i w:val="0"/>
                <w:color w:val="B42828"/>
                <w:sz w:val="20"/>
              </w:rPr>
              <w:t>Required</w:t>
            </w:r>
          </w:p>
        </w:tc>
      </w:tr>
      <w:tr>
        <w:tc>
          <w:tcPr>
            <w:tcW w:type="dxa" w:w="2436"/>
            <w:shd w:val="clear" w:color="auto" w:fill="F9F9F9"/>
          </w:tcPr>
          <w:p>
            <w:r>
              <w:rPr>
                <w:b w:val="0"/>
                <w:i w:val="0"/>
                <w:color w:val="1E1E1E"/>
                <w:sz w:val="20"/>
              </w:rPr>
              <w:t>Database backups encrypted</w:t>
            </w:r>
          </w:p>
        </w:tc>
        <w:tc>
          <w:tcPr>
            <w:tcW w:type="dxa" w:w="2436"/>
            <w:shd w:val="clear" w:color="auto" w:fill="F9F9F9"/>
          </w:tcPr>
          <w:p>
            <w:r>
              <w:rPr>
                <w:b w:val="0"/>
                <w:i w:val="0"/>
                <w:color w:val="1E1E1E"/>
                <w:sz w:val="20"/>
              </w:rPr>
              <w:t>Automated backups must use the same encryption key as the DB volume. Confirm in provider settings.</w:t>
            </w:r>
          </w:p>
        </w:tc>
        <w:tc>
          <w:tcPr>
            <w:tcW w:type="dxa" w:w="2436"/>
            <w:shd w:val="clear" w:color="auto" w:fill="F9F9F9"/>
          </w:tcPr>
          <w:p>
            <w:r>
              <w:rPr>
                <w:b w:val="0"/>
                <w:i w:val="0"/>
                <w:color w:val="B46400"/>
                <w:sz w:val="20"/>
              </w:rPr>
              <w:t>In Progress</w:t>
            </w:r>
          </w:p>
        </w:tc>
        <w:tc>
          <w:tcPr>
            <w:tcW w:type="dxa" w:w="2436"/>
            <w:shd w:val="clear" w:color="auto" w:fill="F9F9F9"/>
          </w:tcPr>
          <w:p>
            <w:r>
              <w:rPr>
                <w:b/>
                <w:i w:val="0"/>
                <w:color w:val="B42828"/>
                <w:sz w:val="20"/>
              </w:rPr>
              <w:t>Required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1E1E1E"/>
                <w:sz w:val="20"/>
              </w:rPr>
              <w:t>Server / VM disk encryption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1E1E1E"/>
                <w:sz w:val="20"/>
              </w:rPr>
              <w:t>OS-level disk encryption enabled on all backend compute instances (e.g. AWS EBS encryption, GCP persistent disk encryption).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B46400"/>
                <w:sz w:val="20"/>
              </w:rPr>
              <w:t>In Progress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/>
                <w:i w:val="0"/>
                <w:color w:val="B42828"/>
                <w:sz w:val="20"/>
              </w:rPr>
              <w:t>Required</w:t>
            </w:r>
          </w:p>
        </w:tc>
      </w:tr>
      <w:tr>
        <w:tc>
          <w:tcPr>
            <w:tcW w:type="dxa" w:w="2436"/>
            <w:shd w:val="clear" w:color="auto" w:fill="F9F9F9"/>
          </w:tcPr>
          <w:p>
            <w:r>
              <w:rPr>
                <w:b w:val="0"/>
                <w:i w:val="0"/>
                <w:color w:val="1E1E1E"/>
                <w:sz w:val="20"/>
              </w:rPr>
              <w:t>.env file — never committed, access restricted</w:t>
            </w:r>
          </w:p>
        </w:tc>
        <w:tc>
          <w:tcPr>
            <w:tcW w:type="dxa" w:w="2436"/>
            <w:shd w:val="clear" w:color="auto" w:fill="F9F9F9"/>
          </w:tcPr>
          <w:p>
            <w:r>
              <w:rPr>
                <w:b w:val="0"/>
                <w:i w:val="0"/>
                <w:color w:val="1E1E1E"/>
                <w:sz w:val="20"/>
              </w:rPr>
              <w:t>.env listed in .gitignore; file access restricted to deployment pipeline and authorised developers only.</w:t>
            </w:r>
          </w:p>
        </w:tc>
        <w:tc>
          <w:tcPr>
            <w:tcW w:type="dxa" w:w="2436"/>
            <w:shd w:val="clear" w:color="auto" w:fill="F9F9F9"/>
          </w:tcPr>
          <w:p>
            <w:r>
              <w:rPr>
                <w:b w:val="0"/>
                <w:i w:val="0"/>
                <w:color w:val="008C46"/>
                <w:sz w:val="20"/>
              </w:rPr>
              <w:t>Compliant</w:t>
            </w:r>
          </w:p>
        </w:tc>
        <w:tc>
          <w:tcPr>
            <w:tcW w:type="dxa" w:w="2436"/>
            <w:shd w:val="clear" w:color="auto" w:fill="F9F9F9"/>
          </w:tcPr>
          <w:p>
            <w:r>
              <w:rPr>
                <w:b/>
                <w:i w:val="0"/>
                <w:color w:val="008C46"/>
                <w:sz w:val="20"/>
              </w:rPr>
              <w:t>Compliant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1E1E1E"/>
                <w:sz w:val="20"/>
              </w:rPr>
              <w:t>google_ads.yaml — never committed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1E1E1E"/>
                <w:sz w:val="20"/>
              </w:rPr>
              <w:t>Listed in .gitignore. Contains Google Ads credentials — must be distributed out-of-band only.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008C46"/>
                <w:sz w:val="20"/>
              </w:rPr>
              <w:t>Compliant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/>
                <w:i w:val="0"/>
                <w:color w:val="008C46"/>
                <w:sz w:val="20"/>
              </w:rPr>
              <w:t>Compliant</w:t>
            </w:r>
          </w:p>
        </w:tc>
      </w:tr>
      <w:tr>
        <w:tc>
          <w:tcPr>
            <w:tcW w:type="dxa" w:w="2436"/>
            <w:shd w:val="clear" w:color="auto" w:fill="F9F9F9"/>
          </w:tcPr>
          <w:p>
            <w:r>
              <w:rPr>
                <w:b w:val="0"/>
                <w:i w:val="0"/>
                <w:color w:val="1E1E1E"/>
                <w:sz w:val="20"/>
              </w:rPr>
              <w:t>Log files — no sensitive data</w:t>
            </w:r>
          </w:p>
        </w:tc>
        <w:tc>
          <w:tcPr>
            <w:tcW w:type="dxa" w:w="2436"/>
            <w:shd w:val="clear" w:color="auto" w:fill="F9F9F9"/>
          </w:tcPr>
          <w:p>
            <w:r>
              <w:rPr>
                <w:b w:val="0"/>
                <w:i w:val="0"/>
                <w:color w:val="1E1E1E"/>
                <w:sz w:val="20"/>
              </w:rPr>
              <w:t>Application logs must not contain passwords, API keys, or PII. Review log statements before production.</w:t>
            </w:r>
          </w:p>
        </w:tc>
        <w:tc>
          <w:tcPr>
            <w:tcW w:type="dxa" w:w="2436"/>
            <w:shd w:val="clear" w:color="auto" w:fill="F9F9F9"/>
          </w:tcPr>
          <w:p>
            <w:r>
              <w:rPr>
                <w:b w:val="0"/>
                <w:i w:val="0"/>
                <w:color w:val="B46400"/>
                <w:sz w:val="20"/>
              </w:rPr>
              <w:t>In Progress</w:t>
            </w:r>
          </w:p>
        </w:tc>
        <w:tc>
          <w:tcPr>
            <w:tcW w:type="dxa" w:w="2436"/>
            <w:shd w:val="clear" w:color="auto" w:fill="F9F9F9"/>
          </w:tcPr>
          <w:p>
            <w:r>
              <w:rPr>
                <w:b/>
                <w:i w:val="0"/>
                <w:color w:val="B42828"/>
                <w:sz w:val="20"/>
              </w:rPr>
              <w:t>Required</w:t>
            </w:r>
          </w:p>
        </w:tc>
      </w:tr>
    </w:tbl>
    <w:p>
      <w:pPr>
        <w:spacing w:before="280" w:after="80"/>
      </w:pPr>
      <w:r>
        <w:rPr>
          <w:b/>
          <w:i w:val="0"/>
          <w:color w:val="0052CC"/>
          <w:sz w:val="18"/>
        </w:rPr>
        <w:t>4. SECRETS &amp; KEY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A1A2E"/>
          </w:tcPr>
          <w:p>
            <w:r>
              <w:rPr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2436"/>
            <w:shd w:val="clear" w:color="auto" w:fill="1A1A2E"/>
          </w:tcPr>
          <w:p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  <w:tc>
          <w:tcPr>
            <w:tcW w:type="dxa" w:w="2436"/>
            <w:shd w:val="clear" w:color="auto" w:fill="1A1A2E"/>
          </w:tcPr>
          <w:p>
            <w:r>
              <w:rPr>
                <w:b/>
                <w:i w:val="0"/>
                <w:color w:val="FFFFFF"/>
                <w:sz w:val="18"/>
              </w:rPr>
              <w:t>Dev Status</w:t>
            </w:r>
          </w:p>
        </w:tc>
        <w:tc>
          <w:tcPr>
            <w:tcW w:type="dxa" w:w="2436"/>
            <w:shd w:val="clear" w:color="auto" w:fill="1A1A2E"/>
          </w:tcPr>
          <w:p>
            <w:r>
              <w:rPr>
                <w:b/>
                <w:i w:val="0"/>
                <w:color w:val="FFFFFF"/>
                <w:sz w:val="18"/>
              </w:rPr>
              <w:t>Prod Target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1E1E1E"/>
                <w:sz w:val="20"/>
              </w:rPr>
              <w:t>API keys stored in environment variables only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1E1E1E"/>
                <w:sz w:val="20"/>
              </w:rPr>
              <w:t>All keys (OPENAI_API_KEY, PERPLEXITY_API_KEY, COMTRADE_API_KEY, APOLLO_API_KEY, AWS_*, GOOGLE_ADS_*) loaded via os.getenv(); never hardcoded.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008C46"/>
                <w:sz w:val="20"/>
              </w:rPr>
              <w:t>Compliant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/>
                <w:i w:val="0"/>
                <w:color w:val="008C46"/>
                <w:sz w:val="20"/>
              </w:rPr>
              <w:t>Compliant</w:t>
            </w:r>
          </w:p>
        </w:tc>
      </w:tr>
      <w:tr>
        <w:tc>
          <w:tcPr>
            <w:tcW w:type="dxa" w:w="2436"/>
            <w:shd w:val="clear" w:color="auto" w:fill="F9F9F9"/>
          </w:tcPr>
          <w:p>
            <w:r>
              <w:rPr>
                <w:b w:val="0"/>
                <w:i w:val="0"/>
                <w:color w:val="1E1E1E"/>
                <w:sz w:val="20"/>
              </w:rPr>
              <w:t>JWT SECRET_KEY — strong, random, env-only</w:t>
            </w:r>
          </w:p>
        </w:tc>
        <w:tc>
          <w:tcPr>
            <w:tcW w:type="dxa" w:w="2436"/>
            <w:shd w:val="clear" w:color="auto" w:fill="F9F9F9"/>
          </w:tcPr>
          <w:p>
            <w:r>
              <w:rPr>
                <w:b w:val="0"/>
                <w:i w:val="0"/>
                <w:color w:val="1E1E1E"/>
                <w:sz w:val="20"/>
              </w:rPr>
              <w:t>SECRET_KEY loaded from env; minimum 32 random bytes. Must not match any default or sample value.</w:t>
            </w:r>
          </w:p>
        </w:tc>
        <w:tc>
          <w:tcPr>
            <w:tcW w:type="dxa" w:w="2436"/>
            <w:shd w:val="clear" w:color="auto" w:fill="F9F9F9"/>
          </w:tcPr>
          <w:p>
            <w:r>
              <w:rPr>
                <w:b w:val="0"/>
                <w:i w:val="0"/>
                <w:color w:val="B46400"/>
                <w:sz w:val="20"/>
              </w:rPr>
              <w:t>In Progress</w:t>
            </w:r>
          </w:p>
        </w:tc>
        <w:tc>
          <w:tcPr>
            <w:tcW w:type="dxa" w:w="2436"/>
            <w:shd w:val="clear" w:color="auto" w:fill="F9F9F9"/>
          </w:tcPr>
          <w:p>
            <w:r>
              <w:rPr>
                <w:b/>
                <w:i w:val="0"/>
                <w:color w:val="B42828"/>
                <w:sz w:val="20"/>
              </w:rPr>
              <w:t>Required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1E1E1E"/>
                <w:sz w:val="20"/>
              </w:rPr>
              <w:t>INTERNAL_API_KEY — env-only, rotated on breach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1E1E1E"/>
                <w:sz w:val="20"/>
              </w:rPr>
              <w:t>Used for internal service auth; stored in env only; rotation procedure: update env var and redeploy.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008C46"/>
                <w:sz w:val="20"/>
              </w:rPr>
              <w:t>Compliant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/>
                <w:i w:val="0"/>
                <w:color w:val="008C46"/>
                <w:sz w:val="20"/>
              </w:rPr>
              <w:t>Compliant</w:t>
            </w:r>
          </w:p>
        </w:tc>
      </w:tr>
      <w:tr>
        <w:tc>
          <w:tcPr>
            <w:tcW w:type="dxa" w:w="2436"/>
            <w:shd w:val="clear" w:color="auto" w:fill="F9F9F9"/>
          </w:tcPr>
          <w:p>
            <w:r>
              <w:rPr>
                <w:b w:val="0"/>
                <w:i w:val="0"/>
                <w:color w:val="1E1E1E"/>
                <w:sz w:val="20"/>
              </w:rPr>
              <w:t>No secrets in source code or git history</w:t>
            </w:r>
          </w:p>
        </w:tc>
        <w:tc>
          <w:tcPr>
            <w:tcW w:type="dxa" w:w="2436"/>
            <w:shd w:val="clear" w:color="auto" w:fill="F9F9F9"/>
          </w:tcPr>
          <w:p>
            <w:r>
              <w:rPr>
                <w:b w:val="0"/>
                <w:i w:val="0"/>
                <w:color w:val="1E1E1E"/>
                <w:sz w:val="20"/>
              </w:rPr>
              <w:t>Run git log -S '&lt;secret&gt;' and git grep to confirm no keys were ever committed. Use trufflehog or gitleaks for automated scan.</w:t>
            </w:r>
          </w:p>
        </w:tc>
        <w:tc>
          <w:tcPr>
            <w:tcW w:type="dxa" w:w="2436"/>
            <w:shd w:val="clear" w:color="auto" w:fill="F9F9F9"/>
          </w:tcPr>
          <w:p>
            <w:r>
              <w:rPr>
                <w:b w:val="0"/>
                <w:i w:val="0"/>
                <w:color w:val="B46400"/>
                <w:sz w:val="20"/>
              </w:rPr>
              <w:t>In Progress</w:t>
            </w:r>
          </w:p>
        </w:tc>
        <w:tc>
          <w:tcPr>
            <w:tcW w:type="dxa" w:w="2436"/>
            <w:shd w:val="clear" w:color="auto" w:fill="F9F9F9"/>
          </w:tcPr>
          <w:p>
            <w:r>
              <w:rPr>
                <w:b/>
                <w:i w:val="0"/>
                <w:color w:val="B42828"/>
                <w:sz w:val="20"/>
              </w:rPr>
              <w:t>Required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1E1E1E"/>
                <w:sz w:val="20"/>
              </w:rPr>
              <w:t>Secret rotation policy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1E1E1E"/>
                <w:sz w:val="20"/>
              </w:rPr>
              <w:t>API keys rotated every 180 days minimum, or immediately on suspected compromise. JWT SECRET_KEY rotated every 90 days in production.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B42828"/>
                <w:sz w:val="20"/>
              </w:rPr>
              <w:t>Not Started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/>
                <w:i w:val="0"/>
                <w:color w:val="B42828"/>
                <w:sz w:val="20"/>
              </w:rPr>
              <w:t>Required</w:t>
            </w:r>
          </w:p>
        </w:tc>
      </w:tr>
      <w:tr>
        <w:tc>
          <w:tcPr>
            <w:tcW w:type="dxa" w:w="2436"/>
            <w:shd w:val="clear" w:color="auto" w:fill="F9F9F9"/>
          </w:tcPr>
          <w:p>
            <w:r>
              <w:rPr>
                <w:b w:val="0"/>
                <w:i w:val="0"/>
                <w:color w:val="1E1E1E"/>
                <w:sz w:val="20"/>
              </w:rPr>
              <w:t>Production secrets stored in secrets manager [PROD]</w:t>
            </w:r>
          </w:p>
        </w:tc>
        <w:tc>
          <w:tcPr>
            <w:tcW w:type="dxa" w:w="2436"/>
            <w:shd w:val="clear" w:color="auto" w:fill="F9F9F9"/>
          </w:tcPr>
          <w:p>
            <w:r>
              <w:rPr>
                <w:b w:val="0"/>
                <w:i w:val="0"/>
                <w:color w:val="1E1E1E"/>
                <w:sz w:val="20"/>
              </w:rPr>
              <w:t>In production, secrets must be injected via AWS Secrets Manager, GCP Secret Manager, or equivalent — not flat .env files.</w:t>
            </w:r>
          </w:p>
        </w:tc>
        <w:tc>
          <w:tcPr>
            <w:tcW w:type="dxa" w:w="2436"/>
            <w:shd w:val="clear" w:color="auto" w:fill="F9F9F9"/>
          </w:tcPr>
          <w:p>
            <w:r>
              <w:rPr>
                <w:b w:val="0"/>
                <w:i w:val="0"/>
                <w:color w:val="646464"/>
                <w:sz w:val="20"/>
              </w:rPr>
              <w:t>N/A</w:t>
            </w:r>
          </w:p>
        </w:tc>
        <w:tc>
          <w:tcPr>
            <w:tcW w:type="dxa" w:w="2436"/>
            <w:shd w:val="clear" w:color="auto" w:fill="F9F9F9"/>
          </w:tcPr>
          <w:p>
            <w:r>
              <w:rPr>
                <w:b/>
                <w:i w:val="0"/>
                <w:color w:val="B42828"/>
                <w:sz w:val="20"/>
              </w:rPr>
              <w:t>Required</w:t>
            </w:r>
          </w:p>
        </w:tc>
      </w:tr>
    </w:tbl>
    <w:p>
      <w:pPr>
        <w:spacing w:before="280" w:after="80"/>
      </w:pPr>
      <w:r>
        <w:rPr>
          <w:b/>
          <w:i w:val="0"/>
          <w:color w:val="0052CC"/>
          <w:sz w:val="18"/>
        </w:rPr>
        <w:t>5. PASSWORD &amp; AUTHENTICATION SECURITY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A1A2E"/>
          </w:tcPr>
          <w:p>
            <w:r>
              <w:rPr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2436"/>
            <w:shd w:val="clear" w:color="auto" w:fill="1A1A2E"/>
          </w:tcPr>
          <w:p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  <w:tc>
          <w:tcPr>
            <w:tcW w:type="dxa" w:w="2436"/>
            <w:shd w:val="clear" w:color="auto" w:fill="1A1A2E"/>
          </w:tcPr>
          <w:p>
            <w:r>
              <w:rPr>
                <w:b/>
                <w:i w:val="0"/>
                <w:color w:val="FFFFFF"/>
                <w:sz w:val="18"/>
              </w:rPr>
              <w:t>Dev Status</w:t>
            </w:r>
          </w:p>
        </w:tc>
        <w:tc>
          <w:tcPr>
            <w:tcW w:type="dxa" w:w="2436"/>
            <w:shd w:val="clear" w:color="auto" w:fill="1A1A2E"/>
          </w:tcPr>
          <w:p>
            <w:r>
              <w:rPr>
                <w:b/>
                <w:i w:val="0"/>
                <w:color w:val="FFFFFF"/>
                <w:sz w:val="18"/>
              </w:rPr>
              <w:t>Prod Target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1E1E1E"/>
                <w:sz w:val="20"/>
              </w:rPr>
              <w:t>Passwords hashed with bcrypt, salt rounds ≥ 12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1E1E1E"/>
                <w:sz w:val="20"/>
              </w:rPr>
              <w:t>bcrypt used for all user password storage; never stored or logged in plaintext.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008C46"/>
                <w:sz w:val="20"/>
              </w:rPr>
              <w:t>Compliant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/>
                <w:i w:val="0"/>
                <w:color w:val="008C46"/>
                <w:sz w:val="20"/>
              </w:rPr>
              <w:t>Compliant</w:t>
            </w:r>
          </w:p>
        </w:tc>
      </w:tr>
      <w:tr>
        <w:tc>
          <w:tcPr>
            <w:tcW w:type="dxa" w:w="2436"/>
            <w:shd w:val="clear" w:color="auto" w:fill="F9F9F9"/>
          </w:tcPr>
          <w:p>
            <w:r>
              <w:rPr>
                <w:b w:val="0"/>
                <w:i w:val="0"/>
                <w:color w:val="1E1E1E"/>
                <w:sz w:val="20"/>
              </w:rPr>
              <w:t>Plaintext passwords never stored or logged</w:t>
            </w:r>
          </w:p>
        </w:tc>
        <w:tc>
          <w:tcPr>
            <w:tcW w:type="dxa" w:w="2436"/>
            <w:shd w:val="clear" w:color="auto" w:fill="F9F9F9"/>
          </w:tcPr>
          <w:p>
            <w:r>
              <w:rPr>
                <w:b w:val="0"/>
                <w:i w:val="0"/>
                <w:color w:val="1E1E1E"/>
                <w:sz w:val="20"/>
              </w:rPr>
              <w:t>Confirmed: no logging of raw password fields in auth routes or middleware.</w:t>
            </w:r>
          </w:p>
        </w:tc>
        <w:tc>
          <w:tcPr>
            <w:tcW w:type="dxa" w:w="2436"/>
            <w:shd w:val="clear" w:color="auto" w:fill="F9F9F9"/>
          </w:tcPr>
          <w:p>
            <w:r>
              <w:rPr>
                <w:b w:val="0"/>
                <w:i w:val="0"/>
                <w:color w:val="008C46"/>
                <w:sz w:val="20"/>
              </w:rPr>
              <w:t>Compliant</w:t>
            </w:r>
          </w:p>
        </w:tc>
        <w:tc>
          <w:tcPr>
            <w:tcW w:type="dxa" w:w="2436"/>
            <w:shd w:val="clear" w:color="auto" w:fill="F9F9F9"/>
          </w:tcPr>
          <w:p>
            <w:r>
              <w:rPr>
                <w:b/>
                <w:i w:val="0"/>
                <w:color w:val="008C46"/>
                <w:sz w:val="20"/>
              </w:rPr>
              <w:t>Compliant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1E1E1E"/>
                <w:sz w:val="20"/>
              </w:rPr>
              <w:t>JWT tokens — short expiry + refresh flow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1E1E1E"/>
                <w:sz w:val="20"/>
              </w:rPr>
              <w:t>Access tokens: short-lived (≤ 15 min recommended). Refresh tokens stored securely (httpOnly cookie or secure storage).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B46400"/>
                <w:sz w:val="20"/>
              </w:rPr>
              <w:t>In Progress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/>
                <w:i w:val="0"/>
                <w:color w:val="B42828"/>
                <w:sz w:val="20"/>
              </w:rPr>
              <w:t>Required</w:t>
            </w:r>
          </w:p>
        </w:tc>
      </w:tr>
      <w:tr>
        <w:tc>
          <w:tcPr>
            <w:tcW w:type="dxa" w:w="2436"/>
            <w:shd w:val="clear" w:color="auto" w:fill="F9F9F9"/>
          </w:tcPr>
          <w:p>
            <w:r>
              <w:rPr>
                <w:b w:val="0"/>
                <w:i w:val="0"/>
                <w:color w:val="1E1E1E"/>
                <w:sz w:val="20"/>
              </w:rPr>
              <w:t>JWT algorithm: HS256 minimum; RS256 preferred in prod</w:t>
            </w:r>
          </w:p>
        </w:tc>
        <w:tc>
          <w:tcPr>
            <w:tcW w:type="dxa" w:w="2436"/>
            <w:shd w:val="clear" w:color="auto" w:fill="F9F9F9"/>
          </w:tcPr>
          <w:p>
            <w:r>
              <w:rPr>
                <w:b w:val="0"/>
                <w:i w:val="0"/>
                <w:color w:val="1E1E1E"/>
                <w:sz w:val="20"/>
              </w:rPr>
              <w:t>Algorithm specified explicitly in jwt_utils.py; 'none' algorithm must be rejected.</w:t>
            </w:r>
          </w:p>
        </w:tc>
        <w:tc>
          <w:tcPr>
            <w:tcW w:type="dxa" w:w="2436"/>
            <w:shd w:val="clear" w:color="auto" w:fill="F9F9F9"/>
          </w:tcPr>
          <w:p>
            <w:r>
              <w:rPr>
                <w:b w:val="0"/>
                <w:i w:val="0"/>
                <w:color w:val="B46400"/>
                <w:sz w:val="20"/>
              </w:rPr>
              <w:t>In Progress</w:t>
            </w:r>
          </w:p>
        </w:tc>
        <w:tc>
          <w:tcPr>
            <w:tcW w:type="dxa" w:w="2436"/>
            <w:shd w:val="clear" w:color="auto" w:fill="F9F9F9"/>
          </w:tcPr>
          <w:p>
            <w:r>
              <w:rPr>
                <w:b/>
                <w:i w:val="0"/>
                <w:color w:val="B42828"/>
                <w:sz w:val="20"/>
              </w:rPr>
              <w:t>Required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1E1E1E"/>
                <w:sz w:val="20"/>
              </w:rPr>
              <w:t>Auth endpoints rate-limited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1E1E1E"/>
                <w:sz w:val="20"/>
              </w:rPr>
              <w:t>Login / signup endpoints must be rate-limited to prevent brute-force. Implement via FastAPI middleware or API gateway.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B42828"/>
                <w:sz w:val="20"/>
              </w:rPr>
              <w:t>Not Started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/>
                <w:i w:val="0"/>
                <w:color w:val="B42828"/>
                <w:sz w:val="20"/>
              </w:rPr>
              <w:t>Required</w:t>
            </w:r>
          </w:p>
        </w:tc>
      </w:tr>
    </w:tbl>
    <w:p>
      <w:pPr>
        <w:spacing w:before="280" w:after="80"/>
      </w:pPr>
      <w:r>
        <w:rPr>
          <w:b/>
          <w:i w:val="0"/>
          <w:color w:val="0052CC"/>
          <w:sz w:val="18"/>
        </w:rPr>
        <w:t>6. CERTIFICATE MANAGEMENT</w:t>
      </w:r>
    </w:p>
    <w:p>
      <w:pPr>
        <w:spacing w:before="40" w:after="40"/>
        <w:ind w:left="0"/>
      </w:pPr>
      <w:r>
        <w:rPr>
          <w:b w:val="0"/>
          <w:i w:val="0"/>
          <w:color w:val="1E1E1E"/>
          <w:sz w:val="20"/>
        </w:rPr>
        <w:t>Certificate Authority: Let's Encrypt (auto-renew via certbot) or cloud provider certificate manager (AWS ACM, GCP Certificate Manager).</w:t>
      </w:r>
    </w:p>
    <w:p>
      <w:pPr>
        <w:spacing w:before="40" w:after="40"/>
        <w:ind w:left="0"/>
      </w:pPr>
      <w:r>
        <w:rPr>
          <w:b w:val="0"/>
          <w:i w:val="0"/>
          <w:color w:val="1E1E1E"/>
          <w:sz w:val="20"/>
        </w:rPr>
        <w:t>Renewal: Certificates must auto-renew at least 30 days before expiry. Manual renewal is not acceptable for production.</w:t>
      </w:r>
    </w:p>
    <w:p>
      <w:pPr>
        <w:spacing w:before="40" w:after="40"/>
        <w:ind w:left="0"/>
      </w:pPr>
      <w:r>
        <w:rPr>
          <w:b w:val="0"/>
          <w:i w:val="0"/>
          <w:color w:val="1E1E1E"/>
          <w:sz w:val="20"/>
        </w:rPr>
        <w:t>Monitoring: Certificate expiry must be monitored. Add an alert if expiry is within 14 days.</w:t>
      </w:r>
    </w:p>
    <w:p>
      <w:pPr>
        <w:spacing w:before="40" w:after="40"/>
        <w:ind w:left="0"/>
      </w:pPr>
      <w:r>
        <w:rPr>
          <w:b w:val="0"/>
          <w:i w:val="0"/>
          <w:color w:val="1E1E1E"/>
          <w:sz w:val="20"/>
        </w:rPr>
        <w:t>Wildcard certs: If a wildcard certificate is used, document the domains it covers and restrict private key access to the deployment pipeline only.</w:t>
      </w:r>
    </w:p>
    <w:p>
      <w:pPr>
        <w:spacing w:before="280" w:after="80"/>
      </w:pPr>
      <w:r>
        <w:rPr>
          <w:b/>
          <w:i w:val="0"/>
          <w:color w:val="0052CC"/>
          <w:sz w:val="18"/>
        </w:rPr>
        <w:t>7. OPEN GAPS — REMEDIATION PLAN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252"/>
        <w:gridCol w:w="1701"/>
        <w:gridCol w:w="1701"/>
        <w:gridCol w:w="1417"/>
      </w:tblGrid>
      <w:tr>
        <w:tc>
          <w:tcPr>
            <w:tcW w:type="dxa" w:w="2436"/>
            <w:shd w:val="clear" w:color="auto" w:fill="1A1A2E"/>
          </w:tcPr>
          <w:p>
            <w:r>
              <w:rPr>
                <w:b/>
                <w:i w:val="0"/>
                <w:color w:val="FFFFFF"/>
                <w:sz w:val="18"/>
              </w:rPr>
              <w:t>Gap</w:t>
            </w:r>
          </w:p>
        </w:tc>
        <w:tc>
          <w:tcPr>
            <w:tcW w:type="dxa" w:w="2436"/>
            <w:shd w:val="clear" w:color="auto" w:fill="1A1A2E"/>
          </w:tcPr>
          <w:p>
            <w:r>
              <w:rPr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2436"/>
            <w:shd w:val="clear" w:color="auto" w:fill="1A1A2E"/>
          </w:tcPr>
          <w:p>
            <w:r>
              <w:rPr>
                <w:b/>
                <w:i w:val="0"/>
                <w:color w:val="FFFFFF"/>
                <w:sz w:val="18"/>
              </w:rPr>
              <w:t>Target Date</w:t>
            </w:r>
          </w:p>
        </w:tc>
        <w:tc>
          <w:tcPr>
            <w:tcW w:type="dxa" w:w="2436"/>
            <w:shd w:val="clear" w:color="auto" w:fill="1A1A2E"/>
          </w:tcPr>
          <w:p>
            <w:r>
              <w:rPr>
                <w:b/>
                <w:i w:val="0"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1E1E1E"/>
                <w:sz w:val="20"/>
              </w:rPr>
              <w:t>PostgreSQL connection — add ?sslmode=require to DATABASE_URL in database.py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1E1E1E"/>
                <w:sz w:val="20"/>
              </w:rPr>
              <w:t>Nikhil Raut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1E1E1E"/>
                <w:sz w:val="20"/>
              </w:rPr>
              <w:t>Before prod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/>
                <w:i w:val="0"/>
                <w:color w:val="B42828"/>
                <w:sz w:val="20"/>
              </w:rPr>
              <w:t>High</w:t>
            </w:r>
          </w:p>
        </w:tc>
      </w:tr>
      <w:tr>
        <w:tc>
          <w:tcPr>
            <w:tcW w:type="dxa" w:w="2436"/>
            <w:shd w:val="clear" w:color="auto" w:fill="F9F9F9"/>
          </w:tcPr>
          <w:p>
            <w:r>
              <w:rPr>
                <w:b w:val="0"/>
                <w:i w:val="0"/>
                <w:color w:val="1E1E1E"/>
                <w:sz w:val="20"/>
              </w:rPr>
              <w:t>Confirm DB instance encryption at rest in cloud provider console</w:t>
            </w:r>
          </w:p>
        </w:tc>
        <w:tc>
          <w:tcPr>
            <w:tcW w:type="dxa" w:w="2436"/>
            <w:shd w:val="clear" w:color="auto" w:fill="F9F9F9"/>
          </w:tcPr>
          <w:p>
            <w:r>
              <w:rPr>
                <w:b w:val="0"/>
                <w:i w:val="0"/>
                <w:color w:val="1E1E1E"/>
                <w:sz w:val="20"/>
              </w:rPr>
              <w:t>Nikhil Raut</w:t>
            </w:r>
          </w:p>
        </w:tc>
        <w:tc>
          <w:tcPr>
            <w:tcW w:type="dxa" w:w="2436"/>
            <w:shd w:val="clear" w:color="auto" w:fill="F9F9F9"/>
          </w:tcPr>
          <w:p>
            <w:r>
              <w:rPr>
                <w:b w:val="0"/>
                <w:i w:val="0"/>
                <w:color w:val="1E1E1E"/>
                <w:sz w:val="20"/>
              </w:rPr>
              <w:t>Before prod</w:t>
            </w:r>
          </w:p>
        </w:tc>
        <w:tc>
          <w:tcPr>
            <w:tcW w:type="dxa" w:w="2436"/>
            <w:shd w:val="clear" w:color="auto" w:fill="F9F9F9"/>
          </w:tcPr>
          <w:p>
            <w:r>
              <w:rPr>
                <w:b/>
                <w:i w:val="0"/>
                <w:color w:val="B42828"/>
                <w:sz w:val="20"/>
              </w:rPr>
              <w:t>High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1E1E1E"/>
                <w:sz w:val="20"/>
              </w:rPr>
              <w:t>HTTPS + TLS 1.2 enforced at reverse proxy / load balancer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1E1E1E"/>
                <w:sz w:val="20"/>
              </w:rPr>
              <w:t>Nikhil Raut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1E1E1E"/>
                <w:sz w:val="20"/>
              </w:rPr>
              <w:t>Before prod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/>
                <w:i w:val="0"/>
                <w:color w:val="B42828"/>
                <w:sz w:val="20"/>
              </w:rPr>
              <w:t>High</w:t>
            </w:r>
          </w:p>
        </w:tc>
      </w:tr>
      <w:tr>
        <w:tc>
          <w:tcPr>
            <w:tcW w:type="dxa" w:w="2436"/>
            <w:shd w:val="clear" w:color="auto" w:fill="F9F9F9"/>
          </w:tcPr>
          <w:p>
            <w:r>
              <w:rPr>
                <w:b w:val="0"/>
                <w:i w:val="0"/>
                <w:color w:val="1E1E1E"/>
                <w:sz w:val="20"/>
              </w:rPr>
              <w:t>HSTS header configured (max-age ≥ 31536000)</w:t>
            </w:r>
          </w:p>
        </w:tc>
        <w:tc>
          <w:tcPr>
            <w:tcW w:type="dxa" w:w="2436"/>
            <w:shd w:val="clear" w:color="auto" w:fill="F9F9F9"/>
          </w:tcPr>
          <w:p>
            <w:r>
              <w:rPr>
                <w:b w:val="0"/>
                <w:i w:val="0"/>
                <w:color w:val="1E1E1E"/>
                <w:sz w:val="20"/>
              </w:rPr>
              <w:t>Nikhil Raut</w:t>
            </w:r>
          </w:p>
        </w:tc>
        <w:tc>
          <w:tcPr>
            <w:tcW w:type="dxa" w:w="2436"/>
            <w:shd w:val="clear" w:color="auto" w:fill="F9F9F9"/>
          </w:tcPr>
          <w:p>
            <w:r>
              <w:rPr>
                <w:b w:val="0"/>
                <w:i w:val="0"/>
                <w:color w:val="1E1E1E"/>
                <w:sz w:val="20"/>
              </w:rPr>
              <w:t>Before prod</w:t>
            </w:r>
          </w:p>
        </w:tc>
        <w:tc>
          <w:tcPr>
            <w:tcW w:type="dxa" w:w="2436"/>
            <w:shd w:val="clear" w:color="auto" w:fill="F9F9F9"/>
          </w:tcPr>
          <w:p>
            <w:r>
              <w:rPr>
                <w:b/>
                <w:i w:val="0"/>
                <w:color w:val="B42828"/>
                <w:sz w:val="20"/>
              </w:rPr>
              <w:t>High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1E1E1E"/>
                <w:sz w:val="20"/>
              </w:rPr>
              <w:t>Secret rotation policy documented and scheduled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1E1E1E"/>
                <w:sz w:val="20"/>
              </w:rPr>
              <w:t>Nikhil Raut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1E1E1E"/>
                <w:sz w:val="20"/>
              </w:rPr>
              <w:t>May 2026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/>
                <w:i w:val="0"/>
                <w:color w:val="B46400"/>
                <w:sz w:val="20"/>
              </w:rPr>
              <w:t>Medium</w:t>
            </w:r>
          </w:p>
        </w:tc>
      </w:tr>
      <w:tr>
        <w:tc>
          <w:tcPr>
            <w:tcW w:type="dxa" w:w="2436"/>
            <w:shd w:val="clear" w:color="auto" w:fill="F9F9F9"/>
          </w:tcPr>
          <w:p>
            <w:r>
              <w:rPr>
                <w:b w:val="0"/>
                <w:i w:val="0"/>
                <w:color w:val="1E1E1E"/>
                <w:sz w:val="20"/>
              </w:rPr>
              <w:t>Production secrets migrated to secrets manager (AWS Secrets Manager or equivalent)</w:t>
            </w:r>
          </w:p>
        </w:tc>
        <w:tc>
          <w:tcPr>
            <w:tcW w:type="dxa" w:w="2436"/>
            <w:shd w:val="clear" w:color="auto" w:fill="F9F9F9"/>
          </w:tcPr>
          <w:p>
            <w:r>
              <w:rPr>
                <w:b w:val="0"/>
                <w:i w:val="0"/>
                <w:color w:val="1E1E1E"/>
                <w:sz w:val="20"/>
              </w:rPr>
              <w:t>Nikhil Raut</w:t>
            </w:r>
          </w:p>
        </w:tc>
        <w:tc>
          <w:tcPr>
            <w:tcW w:type="dxa" w:w="2436"/>
            <w:shd w:val="clear" w:color="auto" w:fill="F9F9F9"/>
          </w:tcPr>
          <w:p>
            <w:r>
              <w:rPr>
                <w:b w:val="0"/>
                <w:i w:val="0"/>
                <w:color w:val="1E1E1E"/>
                <w:sz w:val="20"/>
              </w:rPr>
              <w:t>Before prod</w:t>
            </w:r>
          </w:p>
        </w:tc>
        <w:tc>
          <w:tcPr>
            <w:tcW w:type="dxa" w:w="2436"/>
            <w:shd w:val="clear" w:color="auto" w:fill="F9F9F9"/>
          </w:tcPr>
          <w:p>
            <w:r>
              <w:rPr>
                <w:b/>
                <w:i w:val="0"/>
                <w:color w:val="B42828"/>
                <w:sz w:val="20"/>
              </w:rPr>
              <w:t>High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1E1E1E"/>
                <w:sz w:val="20"/>
              </w:rPr>
              <w:t>JWT expiry and refresh token flow confirmed in jwt_utils.py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1E1E1E"/>
                <w:sz w:val="20"/>
              </w:rPr>
              <w:t>Neel Naik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1E1E1E"/>
                <w:sz w:val="20"/>
              </w:rPr>
              <w:t>May 2026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/>
                <w:i w:val="0"/>
                <w:color w:val="B46400"/>
                <w:sz w:val="20"/>
              </w:rPr>
              <w:t>Medium</w:t>
            </w:r>
          </w:p>
        </w:tc>
      </w:tr>
      <w:tr>
        <w:tc>
          <w:tcPr>
            <w:tcW w:type="dxa" w:w="2436"/>
            <w:shd w:val="clear" w:color="auto" w:fill="F9F9F9"/>
          </w:tcPr>
          <w:p>
            <w:r>
              <w:rPr>
                <w:b w:val="0"/>
                <w:i w:val="0"/>
                <w:color w:val="1E1E1E"/>
                <w:sz w:val="20"/>
              </w:rPr>
              <w:t>Auth endpoints rate-limiting implemented</w:t>
            </w:r>
          </w:p>
        </w:tc>
        <w:tc>
          <w:tcPr>
            <w:tcW w:type="dxa" w:w="2436"/>
            <w:shd w:val="clear" w:color="auto" w:fill="F9F9F9"/>
          </w:tcPr>
          <w:p>
            <w:r>
              <w:rPr>
                <w:b w:val="0"/>
                <w:i w:val="0"/>
                <w:color w:val="1E1E1E"/>
                <w:sz w:val="20"/>
              </w:rPr>
              <w:t>Neel Naik</w:t>
            </w:r>
          </w:p>
        </w:tc>
        <w:tc>
          <w:tcPr>
            <w:tcW w:type="dxa" w:w="2436"/>
            <w:shd w:val="clear" w:color="auto" w:fill="F9F9F9"/>
          </w:tcPr>
          <w:p>
            <w:r>
              <w:rPr>
                <w:b w:val="0"/>
                <w:i w:val="0"/>
                <w:color w:val="1E1E1E"/>
                <w:sz w:val="20"/>
              </w:rPr>
              <w:t>Before prod</w:t>
            </w:r>
          </w:p>
        </w:tc>
        <w:tc>
          <w:tcPr>
            <w:tcW w:type="dxa" w:w="2436"/>
            <w:shd w:val="clear" w:color="auto" w:fill="F9F9F9"/>
          </w:tcPr>
          <w:p>
            <w:r>
              <w:rPr>
                <w:b/>
                <w:i w:val="0"/>
                <w:color w:val="B42828"/>
                <w:sz w:val="20"/>
              </w:rPr>
              <w:t>High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1E1E1E"/>
                <w:sz w:val="20"/>
              </w:rPr>
              <w:t>Git history scan for any accidentally committed secrets (trufflehog or gitleaks)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1E1E1E"/>
                <w:sz w:val="20"/>
              </w:rPr>
              <w:t>Nikhil Raut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1E1E1E"/>
                <w:sz w:val="20"/>
              </w:rPr>
              <w:t>May 2026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/>
                <w:i w:val="0"/>
                <w:color w:val="B42828"/>
                <w:sz w:val="20"/>
              </w:rPr>
              <w:t>High</w:t>
            </w:r>
          </w:p>
        </w:tc>
      </w:tr>
      <w:tr>
        <w:tc>
          <w:tcPr>
            <w:tcW w:type="dxa" w:w="2436"/>
            <w:shd w:val="clear" w:color="auto" w:fill="F9F9F9"/>
          </w:tcPr>
          <w:p>
            <w:r>
              <w:rPr>
                <w:b w:val="0"/>
                <w:i w:val="0"/>
                <w:color w:val="1E1E1E"/>
                <w:sz w:val="20"/>
              </w:rPr>
              <w:t>Log audit — confirm no PII or API keys appear in application logs</w:t>
            </w:r>
          </w:p>
        </w:tc>
        <w:tc>
          <w:tcPr>
            <w:tcW w:type="dxa" w:w="2436"/>
            <w:shd w:val="clear" w:color="auto" w:fill="F9F9F9"/>
          </w:tcPr>
          <w:p>
            <w:r>
              <w:rPr>
                <w:b w:val="0"/>
                <w:i w:val="0"/>
                <w:color w:val="1E1E1E"/>
                <w:sz w:val="20"/>
              </w:rPr>
              <w:t>Neel Naik</w:t>
            </w:r>
          </w:p>
        </w:tc>
        <w:tc>
          <w:tcPr>
            <w:tcW w:type="dxa" w:w="2436"/>
            <w:shd w:val="clear" w:color="auto" w:fill="F9F9F9"/>
          </w:tcPr>
          <w:p>
            <w:r>
              <w:rPr>
                <w:b w:val="0"/>
                <w:i w:val="0"/>
                <w:color w:val="1E1E1E"/>
                <w:sz w:val="20"/>
              </w:rPr>
              <w:t>May 2026</w:t>
            </w:r>
          </w:p>
        </w:tc>
        <w:tc>
          <w:tcPr>
            <w:tcW w:type="dxa" w:w="2436"/>
            <w:shd w:val="clear" w:color="auto" w:fill="F9F9F9"/>
          </w:tcPr>
          <w:p>
            <w:r>
              <w:rPr>
                <w:b/>
                <w:i w:val="0"/>
                <w:color w:val="B46400"/>
                <w:sz w:val="20"/>
              </w:rPr>
              <w:t>Medium</w:t>
            </w:r>
          </w:p>
        </w:tc>
      </w:tr>
    </w:tbl>
    <w:p>
      <w:pPr>
        <w:spacing w:before="280" w:after="80"/>
      </w:pPr>
      <w:r>
        <w:rPr>
          <w:b/>
          <w:i w:val="0"/>
          <w:color w:val="0052CC"/>
          <w:sz w:val="18"/>
        </w:rPr>
        <w:t>8. DOCUMENT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A1A2E"/>
          </w:tcPr>
          <w:p>
            <w:r>
              <w:rPr>
                <w:b/>
                <w:i w:val="0"/>
                <w:color w:val="FFFFFF"/>
                <w:sz w:val="18"/>
              </w:rPr>
              <w:t>Version</w:t>
            </w:r>
          </w:p>
        </w:tc>
        <w:tc>
          <w:tcPr>
            <w:tcW w:type="dxa" w:w="2436"/>
            <w:shd w:val="clear" w:color="auto" w:fill="1A1A2E"/>
          </w:tcPr>
          <w:p>
            <w:r>
              <w:rPr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2436"/>
            <w:shd w:val="clear" w:color="auto" w:fill="1A1A2E"/>
          </w:tcPr>
          <w:p>
            <w:r>
              <w:rPr>
                <w:b/>
                <w:i w:val="0"/>
                <w:color w:val="FFFFFF"/>
                <w:sz w:val="18"/>
              </w:rPr>
              <w:t>Author</w:t>
            </w:r>
          </w:p>
        </w:tc>
        <w:tc>
          <w:tcPr>
            <w:tcW w:type="dxa" w:w="2436"/>
            <w:shd w:val="clear" w:color="auto" w:fill="1A1A2E"/>
          </w:tcPr>
          <w:p>
            <w:r>
              <w:rPr>
                <w:b/>
                <w:i w:val="0"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1E1E1E"/>
                <w:sz w:val="20"/>
              </w:rPr>
              <w:t>1.0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1E1E1E"/>
                <w:sz w:val="20"/>
              </w:rPr>
              <w:t>April 27, 2026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1E1E1E"/>
                <w:sz w:val="20"/>
              </w:rPr>
              <w:t>Nikhil Raut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1E1E1E"/>
                <w:sz w:val="20"/>
              </w:rPr>
              <w:t>Initial document created</w:t>
            </w:r>
          </w:p>
        </w:tc>
      </w:tr>
      <w:tr>
        <w:tc>
          <w:tcPr>
            <w:tcW w:type="dxa" w:w="2436"/>
            <w:shd w:val="clear" w:color="auto" w:fill="F9F9F9"/>
          </w:tcPr>
          <w:p>
            <w:r>
              <w:rPr>
                <w:b w:val="0"/>
                <w:i w:val="0"/>
                <w:color w:val="1E1E1E"/>
                <w:sz w:val="20"/>
              </w:rPr>
              <w:t>1.1</w:t>
            </w:r>
          </w:p>
        </w:tc>
        <w:tc>
          <w:tcPr>
            <w:tcW w:type="dxa" w:w="2436"/>
            <w:shd w:val="clear" w:color="auto" w:fill="F9F9F9"/>
          </w:tcPr>
          <w:p>
            <w:r>
              <w:rPr>
                <w:b w:val="0"/>
                <w:i w:val="0"/>
                <w:color w:val="1E1E1E"/>
                <w:sz w:val="20"/>
              </w:rPr>
              <w:t>April 27, 2026</w:t>
            </w:r>
          </w:p>
        </w:tc>
        <w:tc>
          <w:tcPr>
            <w:tcW w:type="dxa" w:w="2436"/>
            <w:shd w:val="clear" w:color="auto" w:fill="F9F9F9"/>
          </w:tcPr>
          <w:p>
            <w:r>
              <w:rPr>
                <w:b w:val="0"/>
                <w:i w:val="0"/>
                <w:color w:val="1E1E1E"/>
                <w:sz w:val="20"/>
              </w:rPr>
              <w:t>Nikhil Raut</w:t>
            </w:r>
          </w:p>
        </w:tc>
        <w:tc>
          <w:tcPr>
            <w:tcW w:type="dxa" w:w="2436"/>
            <w:shd w:val="clear" w:color="auto" w:fill="F9F9F9"/>
          </w:tcPr>
          <w:p>
            <w:r>
              <w:rPr>
                <w:b w:val="0"/>
                <w:i w:val="0"/>
                <w:color w:val="1E1E1E"/>
                <w:sz w:val="20"/>
              </w:rPr>
              <w:t>Expanded with per-API transit controls, secrets management, auth security, gap remediation plan, change log</w:t>
            </w:r>
          </w:p>
        </w:tc>
      </w:tr>
    </w:tbl>
    <w:p/>
    <w:p>
      <w:r>
        <w:rPr>
          <w:b w:val="0"/>
          <w:i/>
          <w:color w:val="646464"/>
          <w:sz w:val="16"/>
        </w:rPr>
        <w:t>This document is Internal — Confidential. Do not distribute outside the project team without written approval from the Owner.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