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rdi0cvag55e" w:id="0"/>
      <w:bookmarkEnd w:id="0"/>
      <w:r w:rsidDel="00000000" w:rsidR="00000000" w:rsidRPr="00000000">
        <w:rPr>
          <w:rtl w:val="0"/>
        </w:rPr>
        <w:t xml:space="preserve">name: delete-agent description: &gt; Delete an AI agent from a live LiteLLM proxy. Ask for the agent_id and confirm before calling DELETE /v1/agents/{agent_id}.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k32npz4azrb" w:id="1"/>
      <w:bookmarkEnd w:id="1"/>
      <w:r w:rsidDel="00000000" w:rsidR="00000000" w:rsidRPr="00000000">
        <w:rPr>
          <w:rtl w:val="0"/>
        </w:rPr>
        <w:t xml:space="preserve">Delete Agent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Remove an AI agent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qenqvuv82j0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vu17nws0rj1f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— if they don't have it,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agent name and ask for confirmation.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qebjxoyevwms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"$BASE/v1/agents/&lt;agent_id&gt;"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5sc1jek1ynp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Confirm deletion. Note that any keys or integrations pointing to this agent will stop working.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