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m16j88aklcf" w:id="0"/>
      <w:bookmarkEnd w:id="0"/>
      <w:r w:rsidDel="00000000" w:rsidR="00000000" w:rsidRPr="00000000">
        <w:rPr>
          <w:rtl w:val="0"/>
        </w:rPr>
        <w:t xml:space="preserve">name: delete-mcp description: &gt; Delete an MCP server from a live LiteLLM proxy. Ask for the server_id and confirm before calling DELETE /v1/mcp/server/{server_id}.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z30jhrqy2i4" w:id="1"/>
      <w:bookmarkEnd w:id="1"/>
      <w:r w:rsidDel="00000000" w:rsidR="00000000" w:rsidRPr="00000000">
        <w:rPr>
          <w:rtl w:val="0"/>
        </w:rPr>
        <w:t xml:space="preserve">Delete MCP Server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Remove an MCP server registration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k1nbnlfb28n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jyvg54uvzi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server_id</w:t>
      </w:r>
      <w:r w:rsidDel="00000000" w:rsidR="00000000" w:rsidRPr="00000000">
        <w:rPr>
          <w:rtl w:val="0"/>
        </w:rPr>
        <w:t xml:space="preserve"> — if they don't have it,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server name/URL and ask for confirmation.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o7km23qdmyv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"$BASE/v1/mcp/server/&lt;server_id&gt;"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qjqyhcwofr9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Confirm deletion. Note that any agents using this MCP server will lose access to its tools.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