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F1922" w14:textId="77777777" w:rsidR="00222251" w:rsidRDefault="00000000">
      <w:pPr>
        <w:keepNext/>
        <w:spacing w:after="20"/>
      </w:pPr>
      <w:r>
        <w:rPr>
          <w:rFonts w:ascii="Arial" w:hAnsi="Arial"/>
          <w:b/>
          <w:color w:val="64748B"/>
          <w:sz w:val="17"/>
        </w:rPr>
        <w:t>SMART INDIA HACKATHON 2026 — DETAILED PROJECT REPORT</w:t>
      </w:r>
    </w:p>
    <w:p w14:paraId="1293DE0F" w14:textId="77777777" w:rsidR="00222251" w:rsidRDefault="00000000">
      <w:pPr>
        <w:keepNext/>
        <w:spacing w:after="60"/>
      </w:pPr>
      <w:r>
        <w:rPr>
          <w:rFonts w:ascii="Arial" w:hAnsi="Arial"/>
          <w:b/>
          <w:color w:val="1B365D"/>
          <w:sz w:val="26"/>
        </w:rPr>
        <w:t>AgroConnect: Cloud-Native Agricultural Market Linkage &amp; Price Discovery Exchange</w:t>
      </w:r>
    </w:p>
    <w:p w14:paraId="4DBA9B79" w14:textId="77777777" w:rsidR="00222251" w:rsidRDefault="00000000">
      <w:pPr>
        <w:keepNext/>
        <w:spacing w:before="140" w:after="40"/>
      </w:pPr>
      <w:r>
        <w:rPr>
          <w:rFonts w:ascii="Arial" w:hAnsi="Arial"/>
          <w:b/>
          <w:color w:val="1B365D"/>
        </w:rPr>
        <w:t>1. Cover Section</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3024"/>
        <w:gridCol w:w="7200"/>
      </w:tblGrid>
      <w:tr w:rsidR="00222251" w14:paraId="39C50720" w14:textId="77777777">
        <w:trPr>
          <w:cantSplit/>
          <w:jc w:val="center"/>
        </w:trPr>
        <w:tc>
          <w:tcPr>
            <w:tcW w:w="3024" w:type="dxa"/>
            <w:shd w:val="clear" w:color="auto" w:fill="F8FAFC"/>
            <w:tcMar>
              <w:top w:w="40" w:type="dxa"/>
              <w:left w:w="90" w:type="dxa"/>
              <w:bottom w:w="40" w:type="dxa"/>
              <w:right w:w="90" w:type="dxa"/>
            </w:tcMar>
          </w:tcPr>
          <w:p w14:paraId="0AEB4960" w14:textId="77777777" w:rsidR="00222251" w:rsidRDefault="00000000">
            <w:pPr>
              <w:spacing w:after="0"/>
            </w:pPr>
            <w:r>
              <w:rPr>
                <w:rFonts w:ascii="Arial" w:hAnsi="Arial"/>
                <w:b/>
                <w:color w:val="1E293B"/>
                <w:sz w:val="16"/>
              </w:rPr>
              <w:t>Team Name</w:t>
            </w:r>
          </w:p>
        </w:tc>
        <w:tc>
          <w:tcPr>
            <w:tcW w:w="7200" w:type="dxa"/>
            <w:shd w:val="clear" w:color="auto" w:fill="F8FAFC"/>
            <w:tcMar>
              <w:top w:w="40" w:type="dxa"/>
              <w:left w:w="90" w:type="dxa"/>
              <w:bottom w:w="40" w:type="dxa"/>
              <w:right w:w="90" w:type="dxa"/>
            </w:tcMar>
          </w:tcPr>
          <w:p w14:paraId="7F6AA83C" w14:textId="77777777" w:rsidR="00222251" w:rsidRDefault="00000000">
            <w:pPr>
              <w:spacing w:after="0"/>
            </w:pPr>
            <w:r>
              <w:rPr>
                <w:rFonts w:ascii="Arial" w:hAnsi="Arial"/>
                <w:color w:val="334155"/>
                <w:sz w:val="16"/>
              </w:rPr>
              <w:t>Integrity</w:t>
            </w:r>
          </w:p>
        </w:tc>
      </w:tr>
      <w:tr w:rsidR="00222251" w14:paraId="63BBE06C" w14:textId="77777777">
        <w:trPr>
          <w:cantSplit/>
          <w:jc w:val="center"/>
        </w:trPr>
        <w:tc>
          <w:tcPr>
            <w:tcW w:w="3024" w:type="dxa"/>
            <w:shd w:val="clear" w:color="auto" w:fill="FFFFFF"/>
            <w:tcMar>
              <w:top w:w="40" w:type="dxa"/>
              <w:left w:w="90" w:type="dxa"/>
              <w:bottom w:w="40" w:type="dxa"/>
              <w:right w:w="90" w:type="dxa"/>
            </w:tcMar>
          </w:tcPr>
          <w:p w14:paraId="56AF1DE1" w14:textId="77777777" w:rsidR="00222251" w:rsidRDefault="00000000">
            <w:pPr>
              <w:spacing w:after="0"/>
            </w:pPr>
            <w:r>
              <w:rPr>
                <w:rFonts w:ascii="Arial" w:hAnsi="Arial"/>
                <w:b/>
                <w:color w:val="1E293B"/>
                <w:sz w:val="16"/>
              </w:rPr>
              <w:t>Problem Statement ID</w:t>
            </w:r>
          </w:p>
        </w:tc>
        <w:tc>
          <w:tcPr>
            <w:tcW w:w="7200" w:type="dxa"/>
            <w:shd w:val="clear" w:color="auto" w:fill="FFFFFF"/>
            <w:tcMar>
              <w:top w:w="40" w:type="dxa"/>
              <w:left w:w="90" w:type="dxa"/>
              <w:bottom w:w="40" w:type="dxa"/>
              <w:right w:w="90" w:type="dxa"/>
            </w:tcMar>
          </w:tcPr>
          <w:p w14:paraId="171A36FA" w14:textId="77777777" w:rsidR="00222251" w:rsidRDefault="00000000">
            <w:pPr>
              <w:spacing w:after="0"/>
            </w:pPr>
            <w:r>
              <w:rPr>
                <w:rFonts w:ascii="Arial" w:hAnsi="Arial"/>
                <w:color w:val="334155"/>
                <w:sz w:val="16"/>
              </w:rPr>
              <w:t>SIH26132</w:t>
            </w:r>
          </w:p>
        </w:tc>
      </w:tr>
      <w:tr w:rsidR="00222251" w14:paraId="49F46660" w14:textId="77777777">
        <w:trPr>
          <w:cantSplit/>
          <w:jc w:val="center"/>
        </w:trPr>
        <w:tc>
          <w:tcPr>
            <w:tcW w:w="3024" w:type="dxa"/>
            <w:shd w:val="clear" w:color="auto" w:fill="F8FAFC"/>
            <w:tcMar>
              <w:top w:w="40" w:type="dxa"/>
              <w:left w:w="90" w:type="dxa"/>
              <w:bottom w:w="40" w:type="dxa"/>
              <w:right w:w="90" w:type="dxa"/>
            </w:tcMar>
          </w:tcPr>
          <w:p w14:paraId="399D73A4" w14:textId="77777777" w:rsidR="00222251" w:rsidRDefault="00000000">
            <w:pPr>
              <w:spacing w:after="0"/>
            </w:pPr>
            <w:r>
              <w:rPr>
                <w:rFonts w:ascii="Arial" w:hAnsi="Arial"/>
                <w:b/>
                <w:color w:val="1E293B"/>
                <w:sz w:val="16"/>
              </w:rPr>
              <w:t>Problem Statement Title</w:t>
            </w:r>
          </w:p>
        </w:tc>
        <w:tc>
          <w:tcPr>
            <w:tcW w:w="7200" w:type="dxa"/>
            <w:shd w:val="clear" w:color="auto" w:fill="F8FAFC"/>
            <w:tcMar>
              <w:top w:w="40" w:type="dxa"/>
              <w:left w:w="90" w:type="dxa"/>
              <w:bottom w:w="40" w:type="dxa"/>
              <w:right w:w="90" w:type="dxa"/>
            </w:tcMar>
          </w:tcPr>
          <w:p w14:paraId="686A1D56" w14:textId="77777777" w:rsidR="00222251" w:rsidRDefault="00000000">
            <w:pPr>
              <w:spacing w:after="0"/>
            </w:pPr>
            <w:r>
              <w:rPr>
                <w:rFonts w:ascii="Arial" w:hAnsi="Arial"/>
                <w:color w:val="334155"/>
                <w:sz w:val="16"/>
              </w:rPr>
              <w:t>Strengthening Market Linkages and Price Discovery for Farmers</w:t>
            </w:r>
          </w:p>
        </w:tc>
      </w:tr>
      <w:tr w:rsidR="00222251" w14:paraId="6B7D0966" w14:textId="77777777">
        <w:trPr>
          <w:cantSplit/>
          <w:jc w:val="center"/>
        </w:trPr>
        <w:tc>
          <w:tcPr>
            <w:tcW w:w="3024" w:type="dxa"/>
            <w:shd w:val="clear" w:color="auto" w:fill="FFFFFF"/>
            <w:tcMar>
              <w:top w:w="40" w:type="dxa"/>
              <w:left w:w="90" w:type="dxa"/>
              <w:bottom w:w="40" w:type="dxa"/>
              <w:right w:w="90" w:type="dxa"/>
            </w:tcMar>
          </w:tcPr>
          <w:p w14:paraId="40084D90" w14:textId="77777777" w:rsidR="00222251" w:rsidRDefault="00000000">
            <w:pPr>
              <w:spacing w:after="0"/>
            </w:pPr>
            <w:r>
              <w:rPr>
                <w:rFonts w:ascii="Arial" w:hAnsi="Arial"/>
                <w:b/>
                <w:color w:val="1E293B"/>
                <w:sz w:val="16"/>
              </w:rPr>
              <w:t>Theme &amp; Category</w:t>
            </w:r>
          </w:p>
        </w:tc>
        <w:tc>
          <w:tcPr>
            <w:tcW w:w="7200" w:type="dxa"/>
            <w:shd w:val="clear" w:color="auto" w:fill="FFFFFF"/>
            <w:tcMar>
              <w:top w:w="40" w:type="dxa"/>
              <w:left w:w="90" w:type="dxa"/>
              <w:bottom w:w="40" w:type="dxa"/>
              <w:right w:w="90" w:type="dxa"/>
            </w:tcMar>
          </w:tcPr>
          <w:p w14:paraId="19945B3E" w14:textId="77777777" w:rsidR="00222251" w:rsidRDefault="00000000">
            <w:pPr>
              <w:spacing w:after="0"/>
            </w:pPr>
            <w:r>
              <w:rPr>
                <w:rFonts w:ascii="Arial" w:hAnsi="Arial"/>
                <w:color w:val="334155"/>
                <w:sz w:val="16"/>
              </w:rPr>
              <w:t>Agriculture, FoodTech  |  Category: Software</w:t>
            </w:r>
          </w:p>
        </w:tc>
      </w:tr>
      <w:tr w:rsidR="00222251" w14:paraId="3A7D329C" w14:textId="77777777">
        <w:trPr>
          <w:cantSplit/>
          <w:jc w:val="center"/>
        </w:trPr>
        <w:tc>
          <w:tcPr>
            <w:tcW w:w="3024" w:type="dxa"/>
            <w:shd w:val="clear" w:color="auto" w:fill="F8FAFC"/>
            <w:tcMar>
              <w:top w:w="40" w:type="dxa"/>
              <w:left w:w="90" w:type="dxa"/>
              <w:bottom w:w="40" w:type="dxa"/>
              <w:right w:w="90" w:type="dxa"/>
            </w:tcMar>
          </w:tcPr>
          <w:p w14:paraId="36DE90E1" w14:textId="77777777" w:rsidR="00222251" w:rsidRDefault="00000000">
            <w:pPr>
              <w:spacing w:after="0"/>
            </w:pPr>
            <w:r>
              <w:rPr>
                <w:rFonts w:ascii="Arial" w:hAnsi="Arial"/>
                <w:b/>
                <w:color w:val="1E293B"/>
                <w:sz w:val="16"/>
              </w:rPr>
              <w:t>Idea / Solution Title</w:t>
            </w:r>
          </w:p>
        </w:tc>
        <w:tc>
          <w:tcPr>
            <w:tcW w:w="7200" w:type="dxa"/>
            <w:shd w:val="clear" w:color="auto" w:fill="F8FAFC"/>
            <w:tcMar>
              <w:top w:w="40" w:type="dxa"/>
              <w:left w:w="90" w:type="dxa"/>
              <w:bottom w:w="40" w:type="dxa"/>
              <w:right w:w="90" w:type="dxa"/>
            </w:tcMar>
          </w:tcPr>
          <w:p w14:paraId="1368E746" w14:textId="77777777" w:rsidR="00222251" w:rsidRDefault="00000000">
            <w:pPr>
              <w:spacing w:after="0"/>
            </w:pPr>
            <w:r>
              <w:rPr>
                <w:rFonts w:ascii="Arial" w:hAnsi="Arial"/>
                <w:color w:val="334155"/>
                <w:sz w:val="16"/>
              </w:rPr>
              <w:t>AgroConnect (Integrated Bilingual Agritech Procurement &amp; Dispute Redressal Portal)</w:t>
            </w:r>
          </w:p>
        </w:tc>
      </w:tr>
    </w:tbl>
    <w:p w14:paraId="700B5DC4" w14:textId="77777777" w:rsidR="00222251" w:rsidRDefault="00000000">
      <w:pPr>
        <w:spacing w:before="40" w:after="100"/>
      </w:pPr>
      <w:r>
        <w:rPr>
          <w:rFonts w:ascii="Arial" w:hAnsi="Arial"/>
          <w:b/>
          <w:color w:val="475569"/>
          <w:sz w:val="16"/>
        </w:rPr>
        <w:t xml:space="preserve">Nodal Agency: </w:t>
      </w:r>
      <w:r>
        <w:rPr>
          <w:rFonts w:ascii="Arial" w:hAnsi="Arial"/>
          <w:color w:val="475569"/>
          <w:sz w:val="16"/>
        </w:rPr>
        <w:t>Government of Maharashtra &amp; Maharashtra State Innovation Society (MSIS)  |  Target Scope: 585+ Regulated APMCs</w:t>
      </w:r>
    </w:p>
    <w:p w14:paraId="7F1912E6" w14:textId="77777777" w:rsidR="00222251" w:rsidRDefault="00000000">
      <w:pPr>
        <w:keepNext/>
        <w:spacing w:before="140" w:after="40"/>
      </w:pPr>
      <w:r>
        <w:rPr>
          <w:rFonts w:ascii="Arial" w:hAnsi="Arial"/>
          <w:b/>
          <w:color w:val="1B365D"/>
        </w:rPr>
        <w:t>2. Idea / Proposed Solution</w:t>
      </w:r>
    </w:p>
    <w:p w14:paraId="7FF6F491" w14:textId="77777777" w:rsidR="00222251" w:rsidRDefault="00000000">
      <w:pPr>
        <w:spacing w:after="40" w:line="264" w:lineRule="auto"/>
      </w:pPr>
      <w:r>
        <w:rPr>
          <w:rFonts w:ascii="Arial" w:hAnsi="Arial"/>
          <w:color w:val="334155"/>
          <w:sz w:val="17"/>
        </w:rPr>
        <w:t>AgroConnect is a unified, cloud-native agritech exchange engineered to eliminate severe information asymmetry and settlement vulnerability across Maharashtra's agricultural supply chain. Built for smallholder farmers, Farmer Producer Organizations (FPOs), institutional corporate buyers (food processors, bulk retailers, exporters), APMC mandi officials, and the Maharashtra State Agricultural Marketing Board (MSAMB), the platform replaces fragmented middlemen networks with direct procurement channels. AgroConnect integrates real-time price telemetry across 585+ APMCs, automated GIS freight calculation, legally enforceable e-contracts, milestone-based smart escrow, and a 3-tier statutory dispute resolution tribunal into an accessible bilingual interface (Marathi and English).</w:t>
      </w:r>
    </w:p>
    <w:p w14:paraId="401157FC" w14:textId="77777777" w:rsidR="00222251" w:rsidRDefault="00000000">
      <w:pPr>
        <w:keepNext/>
        <w:spacing w:before="90" w:after="30"/>
      </w:pPr>
      <w:r>
        <w:rPr>
          <w:rFonts w:ascii="Arial" w:hAnsi="Arial"/>
          <w:b/>
          <w:color w:val="2B6CB0"/>
          <w:sz w:val="19"/>
        </w:rPr>
        <w:t>Key Differentiators vs. Existing Solutions</w:t>
      </w:r>
    </w:p>
    <w:p w14:paraId="74693B61" w14:textId="77777777" w:rsidR="00222251" w:rsidRDefault="00000000">
      <w:pPr>
        <w:spacing w:after="30" w:line="259" w:lineRule="auto"/>
        <w:ind w:left="230"/>
      </w:pPr>
      <w:r>
        <w:rPr>
          <w:rFonts w:ascii="Arial" w:hAnsi="Arial"/>
          <w:b/>
          <w:color w:val="2B6CB0"/>
          <w:sz w:val="17"/>
        </w:rPr>
        <w:t xml:space="preserve">•  </w:t>
      </w:r>
      <w:r>
        <w:rPr>
          <w:rFonts w:ascii="Arial" w:hAnsi="Arial"/>
          <w:b/>
          <w:color w:val="1E293B"/>
          <w:sz w:val="17"/>
        </w:rPr>
        <w:t xml:space="preserve">Guaranteed 4-Stage Escrow vs. Open Settlement Risk: </w:t>
      </w:r>
      <w:r>
        <w:rPr>
          <w:rFonts w:ascii="Arial" w:hAnsi="Arial"/>
          <w:color w:val="334155"/>
          <w:sz w:val="17"/>
        </w:rPr>
        <w:t>Traditional portals rely on open credit cycles leading to 15–45 day payment delays and arbitrary post-arrival deductions. AgroConnect enforces an immutable 4-stage smart escrow where the buyer locks 50% advance before transit and releases the remaining 50% only upon authenticated APMC gate weighment.</w:t>
      </w:r>
    </w:p>
    <w:p w14:paraId="0417FA78" w14:textId="77777777" w:rsidR="00222251" w:rsidRDefault="00000000">
      <w:pPr>
        <w:spacing w:after="30" w:line="259" w:lineRule="auto"/>
        <w:ind w:left="230"/>
      </w:pPr>
      <w:r>
        <w:rPr>
          <w:rFonts w:ascii="Arial" w:hAnsi="Arial"/>
          <w:b/>
          <w:color w:val="2B6CB0"/>
          <w:sz w:val="17"/>
        </w:rPr>
        <w:t xml:space="preserve">•  </w:t>
      </w:r>
      <w:r>
        <w:rPr>
          <w:rFonts w:ascii="Arial" w:hAnsi="Arial"/>
          <w:b/>
          <w:color w:val="1E293B"/>
          <w:sz w:val="17"/>
        </w:rPr>
        <w:t xml:space="preserve">GIS Logistics Arbitrage vs. Superficial Price Feeds: </w:t>
      </w:r>
      <w:r>
        <w:rPr>
          <w:rFonts w:ascii="Arial" w:hAnsi="Arial"/>
          <w:color w:val="334155"/>
          <w:sz w:val="17"/>
        </w:rPr>
        <w:t>Conventional apps display raw mandi modal rates without logistics economics. AgroConnect embeds a Haversine GIS engine computing real-time freight (₹22/km), statutory APMC cess (1.05%), and labor handling (₹45/Qtl), revealing the exact Net Take-Home realization (₹/Qtl) before dispatch.</w:t>
      </w:r>
    </w:p>
    <w:p w14:paraId="26F07562" w14:textId="77777777" w:rsidR="00222251" w:rsidRDefault="00000000">
      <w:pPr>
        <w:spacing w:after="30" w:line="259" w:lineRule="auto"/>
        <w:ind w:left="230"/>
      </w:pPr>
      <w:r>
        <w:rPr>
          <w:rFonts w:ascii="Arial" w:hAnsi="Arial"/>
          <w:b/>
          <w:color w:val="2B6CB0"/>
          <w:sz w:val="17"/>
        </w:rPr>
        <w:t xml:space="preserve">•  </w:t>
      </w:r>
      <w:r>
        <w:rPr>
          <w:rFonts w:ascii="Arial" w:hAnsi="Arial"/>
          <w:b/>
          <w:color w:val="1E293B"/>
          <w:sz w:val="17"/>
        </w:rPr>
        <w:t xml:space="preserve">Enforceable Digital Contracts vs. Informal Commission Listings: </w:t>
      </w:r>
      <w:r>
        <w:rPr>
          <w:rFonts w:ascii="Arial" w:hAnsi="Arial"/>
          <w:color w:val="334155"/>
          <w:sz w:val="17"/>
        </w:rPr>
        <w:t>Unlike static classifieds or informal mandi bids, AgroConnect provides an interactive counter-bidding console with automatic deal valuation splits, instantly executing legally enforceable digital contracts under the Maharashtra APMC Act, 1963 via Aadhaar OTP and digital token authentication.</w:t>
      </w:r>
    </w:p>
    <w:p w14:paraId="71D3F562" w14:textId="77777777" w:rsidR="00222251" w:rsidRDefault="00000000">
      <w:pPr>
        <w:spacing w:after="30" w:line="259" w:lineRule="auto"/>
        <w:ind w:left="230"/>
      </w:pPr>
      <w:r>
        <w:rPr>
          <w:rFonts w:ascii="Arial" w:hAnsi="Arial"/>
          <w:b/>
          <w:color w:val="2B6CB0"/>
          <w:sz w:val="17"/>
        </w:rPr>
        <w:t xml:space="preserve">•  </w:t>
      </w:r>
      <w:r>
        <w:rPr>
          <w:rFonts w:ascii="Arial" w:hAnsi="Arial"/>
          <w:b/>
          <w:color w:val="1E293B"/>
          <w:sz w:val="17"/>
        </w:rPr>
        <w:t xml:space="preserve">Statutory 3-Tier Arbitration vs. Unregulated Middleman Deductions: </w:t>
      </w:r>
      <w:r>
        <w:rPr>
          <w:rFonts w:ascii="Arial" w:hAnsi="Arial"/>
          <w:color w:val="334155"/>
          <w:sz w:val="17"/>
        </w:rPr>
        <w:t>Unregulated commission agents frequently apply subjective quality cuts under the guise of moisture or foreign matter. AgroConnect integrates NABL laboratory assay certificates, tamper-evident QR traceability tags, and a 3-tier statutory arbitration tribunal (Peer Review → APMC Secretary → MSAMB State Panel).</w:t>
      </w:r>
    </w:p>
    <w:tbl>
      <w:tblPr>
        <w:tblW w:w="0" w:type="auto"/>
        <w:jc w:val="center"/>
        <w:tblBorders>
          <w:left w:val="single" w:sz="18" w:space="0" w:color="1B365D"/>
        </w:tblBorders>
        <w:tblLook w:val="04A0" w:firstRow="1" w:lastRow="0" w:firstColumn="1" w:lastColumn="0" w:noHBand="0" w:noVBand="1"/>
      </w:tblPr>
      <w:tblGrid>
        <w:gridCol w:w="10224"/>
      </w:tblGrid>
      <w:tr w:rsidR="00222251" w14:paraId="7FDB8EC6" w14:textId="77777777">
        <w:trPr>
          <w:cantSplit/>
          <w:jc w:val="center"/>
        </w:trPr>
        <w:tc>
          <w:tcPr>
            <w:tcW w:w="10224" w:type="dxa"/>
            <w:shd w:val="clear" w:color="auto" w:fill="F0F7FF"/>
            <w:tcMar>
              <w:top w:w="60" w:type="dxa"/>
              <w:left w:w="100" w:type="dxa"/>
              <w:bottom w:w="60" w:type="dxa"/>
              <w:right w:w="100" w:type="dxa"/>
            </w:tcMar>
          </w:tcPr>
          <w:p w14:paraId="6B79A710" w14:textId="77777777" w:rsidR="00222251" w:rsidRDefault="00000000">
            <w:pPr>
              <w:spacing w:after="20"/>
            </w:pPr>
            <w:r>
              <w:rPr>
                <w:rFonts w:ascii="Arial" w:hAnsi="Arial"/>
                <w:b/>
                <w:color w:val="1B365D"/>
                <w:sz w:val="17"/>
              </w:rPr>
              <w:t>Unique Selling Proposition (USP)</w:t>
            </w:r>
          </w:p>
          <w:p w14:paraId="350AF165" w14:textId="77777777" w:rsidR="00222251" w:rsidRDefault="00000000">
            <w:pPr>
              <w:spacing w:after="0" w:line="259" w:lineRule="auto"/>
            </w:pPr>
            <w:r>
              <w:rPr>
                <w:rFonts w:ascii="Arial" w:hAnsi="Arial"/>
                <w:i/>
                <w:color w:val="1E293B"/>
                <w:sz w:val="16"/>
              </w:rPr>
              <w:t>"AgroConnect is a unified, bilingual agritech exchange that replaces opaque intermediary cartels with real-time APMC price telemetry, GIS logistics arbitrage, 4-stage smart escrow, and legally binding statutory dispute redressal under the Maharashtra APMC Act, 1963."</w:t>
            </w:r>
          </w:p>
        </w:tc>
      </w:tr>
    </w:tbl>
    <w:p w14:paraId="25012F07" w14:textId="77777777" w:rsidR="00222251" w:rsidRDefault="00000000">
      <w:r>
        <w:br w:type="page"/>
      </w:r>
    </w:p>
    <w:p w14:paraId="3975E501" w14:textId="77777777" w:rsidR="00222251" w:rsidRDefault="00000000">
      <w:pPr>
        <w:keepNext/>
        <w:spacing w:before="140" w:after="40"/>
      </w:pPr>
      <w:r>
        <w:rPr>
          <w:rFonts w:ascii="Arial" w:hAnsi="Arial"/>
          <w:b/>
          <w:color w:val="1B365D"/>
        </w:rPr>
        <w:lastRenderedPageBreak/>
        <w:t>3. Technical Approach</w:t>
      </w:r>
    </w:p>
    <w:p w14:paraId="7ADF1972" w14:textId="77777777" w:rsidR="00222251" w:rsidRDefault="00000000">
      <w:pPr>
        <w:keepNext/>
        <w:spacing w:before="90" w:after="30"/>
      </w:pPr>
      <w:r>
        <w:rPr>
          <w:rFonts w:ascii="Arial" w:hAnsi="Arial"/>
          <w:b/>
          <w:color w:val="2B6CB0"/>
          <w:sz w:val="19"/>
        </w:rPr>
        <w:t>Core Technology Stack (Pure Supabase Serverless Architecture)</w:t>
      </w:r>
    </w:p>
    <w:p w14:paraId="5BE0328F" w14:textId="77777777" w:rsidR="00222251" w:rsidRDefault="00000000">
      <w:pPr>
        <w:spacing w:after="40" w:line="264" w:lineRule="auto"/>
      </w:pPr>
      <w:r>
        <w:rPr>
          <w:rFonts w:ascii="Arial" w:hAnsi="Arial"/>
          <w:b/>
          <w:color w:val="1E293B"/>
          <w:sz w:val="17"/>
        </w:rPr>
        <w:t xml:space="preserve">Architectural Strategy: </w:t>
      </w:r>
      <w:r>
        <w:rPr>
          <w:rFonts w:ascii="Arial" w:hAnsi="Arial"/>
          <w:color w:val="334155"/>
          <w:sz w:val="17"/>
        </w:rPr>
        <w:t>AgroConnect eliminates server maintenance, cold starts, and architectural duplicity by deploying Supabase Cloud as its sole backend engine paired with an ultra-lightweight React 19 client:</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5112"/>
        <w:gridCol w:w="5112"/>
      </w:tblGrid>
      <w:tr w:rsidR="00222251" w14:paraId="16F32013" w14:textId="77777777">
        <w:trPr>
          <w:cantSplit/>
          <w:jc w:val="center"/>
        </w:trPr>
        <w:tc>
          <w:tcPr>
            <w:tcW w:w="5112" w:type="dxa"/>
            <w:shd w:val="clear" w:color="auto" w:fill="F8FAFC"/>
            <w:tcMar>
              <w:top w:w="35" w:type="dxa"/>
              <w:left w:w="70" w:type="dxa"/>
              <w:bottom w:w="35" w:type="dxa"/>
              <w:right w:w="70" w:type="dxa"/>
            </w:tcMar>
          </w:tcPr>
          <w:p w14:paraId="43007370" w14:textId="77777777" w:rsidR="00222251" w:rsidRDefault="00000000">
            <w:pPr>
              <w:spacing w:after="0" w:line="254" w:lineRule="auto"/>
            </w:pPr>
            <w:r>
              <w:rPr>
                <w:rFonts w:ascii="Arial" w:hAnsi="Arial"/>
                <w:b/>
                <w:color w:val="1E293B"/>
                <w:sz w:val="15"/>
              </w:rPr>
              <w:t>Client Application</w:t>
            </w:r>
            <w:r>
              <w:rPr>
                <w:rFonts w:ascii="Arial" w:hAnsi="Arial"/>
                <w:color w:val="334155"/>
                <w:sz w:val="15"/>
              </w:rPr>
              <w:t>: React 19 (^19.0.0), TypeScript (~5.7.2), Vite (^6.2.0); ~310ms build, &lt;1.5s load on 3G, sub-100ms latency.</w:t>
            </w:r>
          </w:p>
        </w:tc>
        <w:tc>
          <w:tcPr>
            <w:tcW w:w="5112" w:type="dxa"/>
            <w:shd w:val="clear" w:color="auto" w:fill="F8FAFC"/>
            <w:tcMar>
              <w:top w:w="35" w:type="dxa"/>
              <w:left w:w="70" w:type="dxa"/>
              <w:bottom w:w="35" w:type="dxa"/>
              <w:right w:w="70" w:type="dxa"/>
            </w:tcMar>
          </w:tcPr>
          <w:p w14:paraId="03596137" w14:textId="77777777" w:rsidR="00222251" w:rsidRDefault="00000000">
            <w:pPr>
              <w:spacing w:after="0" w:line="254" w:lineRule="auto"/>
            </w:pPr>
            <w:r>
              <w:rPr>
                <w:rFonts w:ascii="Arial" w:hAnsi="Arial"/>
                <w:b/>
                <w:color w:val="1E293B"/>
                <w:sz w:val="15"/>
              </w:rPr>
              <w:t>Managed Database</w:t>
            </w:r>
            <w:r>
              <w:rPr>
                <w:rFonts w:ascii="Arial" w:hAnsi="Arial"/>
                <w:color w:val="334155"/>
                <w:sz w:val="15"/>
              </w:rPr>
              <w:t>: PostgreSQL 15 housing 8 core relational tables with foreign keys and trigram search indices.</w:t>
            </w:r>
          </w:p>
        </w:tc>
      </w:tr>
      <w:tr w:rsidR="00222251" w14:paraId="126B64F5" w14:textId="77777777">
        <w:trPr>
          <w:cantSplit/>
          <w:jc w:val="center"/>
        </w:trPr>
        <w:tc>
          <w:tcPr>
            <w:tcW w:w="5112" w:type="dxa"/>
            <w:shd w:val="clear" w:color="auto" w:fill="FFFFFF"/>
            <w:tcMar>
              <w:top w:w="35" w:type="dxa"/>
              <w:left w:w="70" w:type="dxa"/>
              <w:bottom w:w="35" w:type="dxa"/>
              <w:right w:w="70" w:type="dxa"/>
            </w:tcMar>
          </w:tcPr>
          <w:p w14:paraId="08222903" w14:textId="77777777" w:rsidR="00222251" w:rsidRDefault="00000000">
            <w:pPr>
              <w:spacing w:after="0" w:line="254" w:lineRule="auto"/>
            </w:pPr>
            <w:r>
              <w:rPr>
                <w:rFonts w:ascii="Arial" w:hAnsi="Arial"/>
                <w:b/>
                <w:color w:val="1E293B"/>
                <w:sz w:val="15"/>
              </w:rPr>
              <w:t>Row-Level Security (RLS)</w:t>
            </w:r>
            <w:r>
              <w:rPr>
                <w:rFonts w:ascii="Arial" w:hAnsi="Arial"/>
                <w:color w:val="334155"/>
                <w:sz w:val="15"/>
              </w:rPr>
              <w:t>: Strict persona isolation; farmers edit only own lots, buyers access only their bids, officials arbitrate.</w:t>
            </w:r>
          </w:p>
        </w:tc>
        <w:tc>
          <w:tcPr>
            <w:tcW w:w="5112" w:type="dxa"/>
            <w:shd w:val="clear" w:color="auto" w:fill="FFFFFF"/>
            <w:tcMar>
              <w:top w:w="35" w:type="dxa"/>
              <w:left w:w="70" w:type="dxa"/>
              <w:bottom w:w="35" w:type="dxa"/>
              <w:right w:w="70" w:type="dxa"/>
            </w:tcMar>
          </w:tcPr>
          <w:p w14:paraId="218BFCBB" w14:textId="77777777" w:rsidR="00222251" w:rsidRDefault="00000000">
            <w:pPr>
              <w:spacing w:after="0" w:line="254" w:lineRule="auto"/>
            </w:pPr>
            <w:r>
              <w:rPr>
                <w:rFonts w:ascii="Arial" w:hAnsi="Arial"/>
                <w:b/>
                <w:color w:val="1E293B"/>
                <w:sz w:val="15"/>
              </w:rPr>
              <w:t>Realtime WebSockets</w:t>
            </w:r>
            <w:r>
              <w:rPr>
                <w:rFonts w:ascii="Arial" w:hAnsi="Arial"/>
                <w:color w:val="334155"/>
                <w:sz w:val="15"/>
              </w:rPr>
              <w:t>: Multiplexed channels for live APMC price feeds, bilateral RFQ counter-bidding, and escrow transitions.</w:t>
            </w:r>
          </w:p>
        </w:tc>
      </w:tr>
      <w:tr w:rsidR="00222251" w14:paraId="0E8A8405" w14:textId="77777777">
        <w:trPr>
          <w:cantSplit/>
          <w:jc w:val="center"/>
        </w:trPr>
        <w:tc>
          <w:tcPr>
            <w:tcW w:w="5112" w:type="dxa"/>
            <w:shd w:val="clear" w:color="auto" w:fill="F8FAFC"/>
            <w:tcMar>
              <w:top w:w="35" w:type="dxa"/>
              <w:left w:w="70" w:type="dxa"/>
              <w:bottom w:w="35" w:type="dxa"/>
              <w:right w:w="70" w:type="dxa"/>
            </w:tcMar>
          </w:tcPr>
          <w:p w14:paraId="3D0CC85F" w14:textId="77777777" w:rsidR="00222251" w:rsidRDefault="00000000">
            <w:pPr>
              <w:spacing w:after="0" w:line="254" w:lineRule="auto"/>
            </w:pPr>
            <w:r>
              <w:rPr>
                <w:rFonts w:ascii="Arial" w:hAnsi="Arial"/>
                <w:b/>
                <w:color w:val="1E293B"/>
                <w:sz w:val="15"/>
              </w:rPr>
              <w:t>Supabase Object Storage</w:t>
            </w:r>
            <w:r>
              <w:rPr>
                <w:rFonts w:ascii="Arial" w:hAnsi="Arial"/>
                <w:color w:val="334155"/>
                <w:sz w:val="15"/>
              </w:rPr>
              <w:t>: Encrypted storage for NABL laboratory assay certificates, APMC gate weighment slips, and dispute evidence.</w:t>
            </w:r>
          </w:p>
        </w:tc>
        <w:tc>
          <w:tcPr>
            <w:tcW w:w="5112" w:type="dxa"/>
            <w:shd w:val="clear" w:color="auto" w:fill="F8FAFC"/>
            <w:tcMar>
              <w:top w:w="35" w:type="dxa"/>
              <w:left w:w="70" w:type="dxa"/>
              <w:bottom w:w="35" w:type="dxa"/>
              <w:right w:w="70" w:type="dxa"/>
            </w:tcMar>
          </w:tcPr>
          <w:p w14:paraId="2E6FB549" w14:textId="77777777" w:rsidR="00222251" w:rsidRDefault="00000000">
            <w:pPr>
              <w:spacing w:after="0" w:line="254" w:lineRule="auto"/>
            </w:pPr>
            <w:r>
              <w:rPr>
                <w:rFonts w:ascii="Arial" w:hAnsi="Arial"/>
                <w:b/>
                <w:color w:val="1E293B"/>
                <w:sz w:val="15"/>
              </w:rPr>
              <w:t>Edge Functions &amp; Triggers</w:t>
            </w:r>
            <w:r>
              <w:rPr>
                <w:rFonts w:ascii="Arial" w:hAnsi="Arial"/>
                <w:color w:val="334155"/>
                <w:sz w:val="15"/>
              </w:rPr>
              <w:t>: Deno runtime executing automated contract ID generation (AGC-MH-YYYYMMDD-XXXXX) and notifications.</w:t>
            </w:r>
          </w:p>
        </w:tc>
      </w:tr>
    </w:tbl>
    <w:p w14:paraId="72F766C4" w14:textId="77777777" w:rsidR="00222251" w:rsidRDefault="00000000">
      <w:pPr>
        <w:keepNext/>
        <w:spacing w:before="90" w:after="30"/>
      </w:pPr>
      <w:r>
        <w:rPr>
          <w:rFonts w:ascii="Arial" w:hAnsi="Arial"/>
          <w:b/>
          <w:color w:val="2B6CB0"/>
          <w:sz w:val="19"/>
        </w:rPr>
        <w:t>Methodology &amp; End-to-End Transaction Process Flow</w:t>
      </w:r>
    </w:p>
    <w:p w14:paraId="182E5AD3" w14:textId="77777777" w:rsidR="00222251" w:rsidRDefault="00000000">
      <w:pPr>
        <w:spacing w:after="30" w:line="259" w:lineRule="auto"/>
        <w:ind w:left="230"/>
      </w:pPr>
      <w:r>
        <w:rPr>
          <w:rFonts w:ascii="Arial" w:hAnsi="Arial"/>
          <w:b/>
          <w:color w:val="2B6CB0"/>
          <w:sz w:val="17"/>
        </w:rPr>
        <w:t xml:space="preserve">•  </w:t>
      </w:r>
      <w:r>
        <w:rPr>
          <w:rFonts w:ascii="Arial" w:hAnsi="Arial"/>
          <w:b/>
          <w:color w:val="1E293B"/>
          <w:sz w:val="17"/>
        </w:rPr>
        <w:t xml:space="preserve">1. Harvest Lot Registration: </w:t>
      </w:r>
      <w:r>
        <w:rPr>
          <w:rFonts w:ascii="Arial" w:hAnsi="Arial"/>
          <w:color w:val="334155"/>
          <w:sz w:val="17"/>
        </w:rPr>
        <w:t>Farmer/FPO registers produce specifying commodity, variety (e.g., Garwa Onion, JS-335 Soybean), volume (Qtl), moisture %, asking rate, and storage coordinates. Validated against APMC Modal Parity; issues official printable QR traceability badge.</w:t>
      </w:r>
    </w:p>
    <w:p w14:paraId="455F209A" w14:textId="77777777" w:rsidR="00222251" w:rsidRDefault="00000000">
      <w:pPr>
        <w:spacing w:after="30" w:line="259" w:lineRule="auto"/>
        <w:ind w:left="230"/>
      </w:pPr>
      <w:r>
        <w:rPr>
          <w:rFonts w:ascii="Arial" w:hAnsi="Arial"/>
          <w:b/>
          <w:color w:val="2B6CB0"/>
          <w:sz w:val="17"/>
        </w:rPr>
        <w:t xml:space="preserve">•  </w:t>
      </w:r>
      <w:r>
        <w:rPr>
          <w:rFonts w:ascii="Arial" w:hAnsi="Arial"/>
          <w:b/>
          <w:color w:val="1E293B"/>
          <w:sz w:val="17"/>
        </w:rPr>
        <w:t xml:space="preserve">2. Telemetry &amp; Arbitrage Check: </w:t>
      </w:r>
      <w:r>
        <w:rPr>
          <w:rFonts w:ascii="Arial" w:hAnsi="Arial"/>
          <w:color w:val="334155"/>
          <w:sz w:val="17"/>
        </w:rPr>
        <w:t>System maps coordinates across 585+ APMCs, factoring commercial freight, mandi cess, and handling to display real-time inter-market arbitrage margins.</w:t>
      </w:r>
    </w:p>
    <w:p w14:paraId="6D728684" w14:textId="77777777" w:rsidR="00222251" w:rsidRDefault="00000000">
      <w:pPr>
        <w:spacing w:after="30" w:line="259" w:lineRule="auto"/>
        <w:ind w:left="230"/>
      </w:pPr>
      <w:r>
        <w:rPr>
          <w:rFonts w:ascii="Arial" w:hAnsi="Arial"/>
          <w:b/>
          <w:color w:val="2B6CB0"/>
          <w:sz w:val="17"/>
        </w:rPr>
        <w:t xml:space="preserve">•  </w:t>
      </w:r>
      <w:r>
        <w:rPr>
          <w:rFonts w:ascii="Arial" w:hAnsi="Arial"/>
          <w:b/>
          <w:color w:val="1E293B"/>
          <w:sz w:val="17"/>
        </w:rPr>
        <w:t xml:space="preserve">3. Bilateral RFQ Counter-Bidding: </w:t>
      </w:r>
      <w:r>
        <w:rPr>
          <w:rFonts w:ascii="Arial" w:hAnsi="Arial"/>
          <w:color w:val="334155"/>
          <w:sz w:val="17"/>
        </w:rPr>
        <w:t>Institutional buyer explores certified lots and initiates bilateral counter-offers. Platform auto-computes Total Deal Value and 50/50 advance milestones.</w:t>
      </w:r>
    </w:p>
    <w:p w14:paraId="5D9F563C" w14:textId="77777777" w:rsidR="00222251" w:rsidRDefault="00000000">
      <w:pPr>
        <w:spacing w:after="30" w:line="259" w:lineRule="auto"/>
        <w:ind w:left="230"/>
      </w:pPr>
      <w:r>
        <w:rPr>
          <w:rFonts w:ascii="Arial" w:hAnsi="Arial"/>
          <w:b/>
          <w:color w:val="2B6CB0"/>
          <w:sz w:val="17"/>
        </w:rPr>
        <w:t xml:space="preserve">•  </w:t>
      </w:r>
      <w:r>
        <w:rPr>
          <w:rFonts w:ascii="Arial" w:hAnsi="Arial"/>
          <w:b/>
          <w:color w:val="1E293B"/>
          <w:sz w:val="17"/>
        </w:rPr>
        <w:t xml:space="preserve">4. Digital Contract Execution: </w:t>
      </w:r>
      <w:r>
        <w:rPr>
          <w:rFonts w:ascii="Arial" w:hAnsi="Arial"/>
          <w:color w:val="334155"/>
          <w:sz w:val="17"/>
        </w:rPr>
        <w:t>Mutual acceptance auto-generates a legally binding contract under the APMC Act 1963, verified via Aadhaar OTP (farmer) and digital key (buyer).</w:t>
      </w:r>
    </w:p>
    <w:p w14:paraId="44BC255F" w14:textId="77777777" w:rsidR="00222251" w:rsidRDefault="00000000">
      <w:pPr>
        <w:spacing w:after="30" w:line="259" w:lineRule="auto"/>
        <w:ind w:left="230"/>
      </w:pPr>
      <w:r>
        <w:rPr>
          <w:rFonts w:ascii="Arial" w:hAnsi="Arial"/>
          <w:b/>
          <w:color w:val="2B6CB0"/>
          <w:sz w:val="17"/>
        </w:rPr>
        <w:t xml:space="preserve">•  </w:t>
      </w:r>
      <w:r>
        <w:rPr>
          <w:rFonts w:ascii="Arial" w:hAnsi="Arial"/>
          <w:b/>
          <w:color w:val="1E293B"/>
          <w:sz w:val="17"/>
        </w:rPr>
        <w:t xml:space="preserve">5. 4-Stage Milestone Escrow: </w:t>
      </w:r>
      <w:r>
        <w:rPr>
          <w:rFonts w:ascii="Arial" w:hAnsi="Arial"/>
          <w:color w:val="334155"/>
          <w:sz w:val="17"/>
        </w:rPr>
        <w:t>Escrow state machine locks buyer advance; transit dispatch triggers advance release to farmer; terminal gate weighment releases the balance.</w:t>
      </w:r>
    </w:p>
    <w:p w14:paraId="00F284BC" w14:textId="77777777" w:rsidR="00222251" w:rsidRDefault="00000000">
      <w:pPr>
        <w:spacing w:after="30" w:line="259" w:lineRule="auto"/>
        <w:ind w:left="230"/>
      </w:pPr>
      <w:r>
        <w:rPr>
          <w:rFonts w:ascii="Arial" w:hAnsi="Arial"/>
          <w:b/>
          <w:color w:val="2B6CB0"/>
          <w:sz w:val="17"/>
        </w:rPr>
        <w:t xml:space="preserve">•  </w:t>
      </w:r>
      <w:r>
        <w:rPr>
          <w:rFonts w:ascii="Arial" w:hAnsi="Arial"/>
          <w:b/>
          <w:color w:val="1E293B"/>
          <w:sz w:val="17"/>
        </w:rPr>
        <w:t xml:space="preserve">6. 3-Tier Statutory Arbitration: </w:t>
      </w:r>
      <w:r>
        <w:rPr>
          <w:rFonts w:ascii="Arial" w:hAnsi="Arial"/>
          <w:color w:val="334155"/>
          <w:sz w:val="17"/>
        </w:rPr>
        <w:t>Any quality or moisture discrepancy is routed through 48h peer negotiation, APMC Secretary arbitration, or the MSAMB state panel with photographic evidence.</w:t>
      </w:r>
    </w:p>
    <w:p w14:paraId="72DABDE4" w14:textId="77777777" w:rsidR="00222251" w:rsidRDefault="00000000">
      <w:pPr>
        <w:keepNext/>
        <w:spacing w:before="90" w:after="30"/>
      </w:pPr>
      <w:r>
        <w:rPr>
          <w:rFonts w:ascii="Arial" w:hAnsi="Arial"/>
          <w:b/>
          <w:color w:val="2B6CB0"/>
          <w:sz w:val="19"/>
        </w:rPr>
        <w:t>System Architecture Diagram Description</w:t>
      </w:r>
    </w:p>
    <w:p w14:paraId="4CB3CA5E" w14:textId="77777777" w:rsidR="00222251" w:rsidRDefault="00000000">
      <w:pPr>
        <w:spacing w:after="40" w:line="264" w:lineRule="auto"/>
      </w:pPr>
      <w:r>
        <w:rPr>
          <w:rFonts w:ascii="Arial" w:hAnsi="Arial"/>
          <w:b/>
          <w:color w:val="1E293B"/>
          <w:sz w:val="17"/>
        </w:rPr>
        <w:t xml:space="preserve">Structural Blueprint: </w:t>
      </w:r>
      <w:r>
        <w:rPr>
          <w:rFonts w:ascii="Arial" w:hAnsi="Arial"/>
          <w:color w:val="334155"/>
          <w:sz w:val="17"/>
        </w:rPr>
        <w:t>The architecture decouples the Vite React 19 client from Supabase Cloud services. The SPA communicates directly with PostgreSQL via auto-generated PostgREST HTTP/2 APIs and WebSocket channels, backed by in-memory reactive fallback engines to guarantee zero demo interruption during transient offline intervals.</w:t>
      </w:r>
    </w:p>
    <w:tbl>
      <w:tblPr>
        <w:tblW w:w="0" w:type="auto"/>
        <w:jc w:val="center"/>
        <w:tblBorders>
          <w:left w:val="single" w:sz="18" w:space="0" w:color="2B6CB0"/>
        </w:tblBorders>
        <w:tblLook w:val="04A0" w:firstRow="1" w:lastRow="0" w:firstColumn="1" w:lastColumn="0" w:noHBand="0" w:noVBand="1"/>
      </w:tblPr>
      <w:tblGrid>
        <w:gridCol w:w="5112"/>
        <w:gridCol w:w="5112"/>
        <w:gridCol w:w="29"/>
      </w:tblGrid>
      <w:tr w:rsidR="00222251" w14:paraId="22D5E8C4" w14:textId="77777777">
        <w:trPr>
          <w:gridAfter w:val="1"/>
          <w:wAfter w:w="29" w:type="dxa"/>
          <w:cantSplit/>
          <w:jc w:val="center"/>
        </w:trPr>
        <w:tc>
          <w:tcPr>
            <w:tcW w:w="10224" w:type="dxa"/>
            <w:gridSpan w:val="2"/>
            <w:shd w:val="clear" w:color="auto" w:fill="F8FAFC"/>
            <w:tcMar>
              <w:top w:w="60" w:type="dxa"/>
              <w:left w:w="100" w:type="dxa"/>
              <w:bottom w:w="60" w:type="dxa"/>
              <w:right w:w="100" w:type="dxa"/>
            </w:tcMar>
          </w:tcPr>
          <w:p w14:paraId="286744CD" w14:textId="77777777" w:rsidR="00222251" w:rsidRDefault="00000000">
            <w:pPr>
              <w:spacing w:after="20"/>
            </w:pPr>
            <w:r>
              <w:rPr>
                <w:rFonts w:ascii="Arial" w:hAnsi="Arial"/>
                <w:b/>
                <w:color w:val="1B365D"/>
                <w:sz w:val="17"/>
              </w:rPr>
              <w:t>Architecture Representation (Client-to-Cloud)</w:t>
            </w:r>
          </w:p>
          <w:p w14:paraId="1CC73F59" w14:textId="77777777" w:rsidR="00222251" w:rsidRDefault="00000000">
            <w:pPr>
              <w:spacing w:after="0" w:line="259" w:lineRule="auto"/>
            </w:pPr>
            <w:r>
              <w:rPr>
                <w:rFonts w:ascii="Arial" w:hAnsi="Arial"/>
                <w:i/>
                <w:color w:val="1E293B"/>
                <w:sz w:val="16"/>
              </w:rPr>
              <w:t>[Client: Vite + React 19 + TypeScript (Marathi/English i18n)]</w:t>
            </w:r>
            <w:r>
              <w:rPr>
                <w:rFonts w:ascii="Arial" w:hAnsi="Arial"/>
                <w:i/>
                <w:color w:val="1E293B"/>
                <w:sz w:val="16"/>
              </w:rPr>
              <w:br/>
              <w:t xml:space="preserve">   │  • Farmer Portal   • Buyer Catalog   • Mandi Arbitrage   • Escrow Hub   • Dispute Court</w:t>
            </w:r>
            <w:r>
              <w:rPr>
                <w:rFonts w:ascii="Arial" w:hAnsi="Arial"/>
                <w:i/>
                <w:color w:val="1E293B"/>
                <w:sz w:val="16"/>
              </w:rPr>
              <w:br/>
              <w:t xml:space="preserve">   ▼  (Direct @supabase/supabase-js over PostgREST HTTP/2 &amp; Realtime WebSockets)</w:t>
            </w:r>
            <w:r>
              <w:rPr>
                <w:rFonts w:ascii="Arial" w:hAnsi="Arial"/>
                <w:i/>
                <w:color w:val="1E293B"/>
                <w:sz w:val="16"/>
              </w:rPr>
              <w:br/>
              <w:t>[Supabase Cloud Backend Services]</w:t>
            </w:r>
            <w:r>
              <w:rPr>
                <w:rFonts w:ascii="Arial" w:hAnsi="Arial"/>
                <w:i/>
                <w:color w:val="1E293B"/>
                <w:sz w:val="16"/>
              </w:rPr>
              <w:br/>
              <w:t xml:space="preserve">   ├── PostgreSQL 15 DB (8 Core Relational Tables + Trigram Indices)</w:t>
            </w:r>
            <w:r>
              <w:rPr>
                <w:rFonts w:ascii="Arial" w:hAnsi="Arial"/>
                <w:i/>
                <w:color w:val="1E293B"/>
                <w:sz w:val="16"/>
              </w:rPr>
              <w:br/>
              <w:t xml:space="preserve">   ├── Row-Level Security (RLS) Engine (Persona-based Data Isolation)</w:t>
            </w:r>
            <w:r>
              <w:rPr>
                <w:rFonts w:ascii="Arial" w:hAnsi="Arial"/>
                <w:i/>
                <w:color w:val="1E293B"/>
                <w:sz w:val="16"/>
              </w:rPr>
              <w:br/>
              <w:t xml:space="preserve">   ├── Realtime Engine (WebSockets for Prices, RFQ Counter-Bids, Escrow Events)</w:t>
            </w:r>
            <w:r>
              <w:rPr>
                <w:rFonts w:ascii="Arial" w:hAnsi="Arial"/>
                <w:i/>
                <w:color w:val="1E293B"/>
                <w:sz w:val="16"/>
              </w:rPr>
              <w:br/>
              <w:t xml:space="preserve">   ├── Object Storage (NABL Assay Reports, APMC Gate Weighment Evidence, QR Tags)</w:t>
            </w:r>
            <w:r>
              <w:rPr>
                <w:rFonts w:ascii="Arial" w:hAnsi="Arial"/>
                <w:i/>
                <w:color w:val="1E293B"/>
                <w:sz w:val="16"/>
              </w:rPr>
              <w:br/>
              <w:t xml:space="preserve">   └── Database Triggers &amp; Edge Functions (Contract Auto-Gen &amp; Audit Logs)</w:t>
            </w:r>
          </w:p>
        </w:tc>
      </w:tr>
      <w:tr w:rsidR="00222251" w14:paraId="78E28FFD" w14:textId="77777777">
        <w:tblPrEx>
          <w:tblBorders>
            <w:top w:val="single" w:sz="4" w:space="0" w:color="CBD5E1"/>
            <w:left w:val="single" w:sz="16" w:space="0" w:color="1B365D"/>
            <w:bottom w:val="single" w:sz="4" w:space="0" w:color="CBD5E1"/>
            <w:right w:val="single" w:sz="4" w:space="0" w:color="CBD5E1"/>
            <w:insideV w:val="single" w:sz="4" w:space="0" w:color="CBD5E1"/>
          </w:tblBorders>
        </w:tblPrEx>
        <w:trPr>
          <w:cantSplit/>
          <w:jc w:val="center"/>
        </w:trPr>
        <w:tc>
          <w:tcPr>
            <w:tcW w:w="5112" w:type="dxa"/>
            <w:shd w:val="clear" w:color="auto" w:fill="F0FDF4"/>
            <w:tcMar>
              <w:top w:w="45" w:type="dxa"/>
              <w:left w:w="70" w:type="dxa"/>
              <w:bottom w:w="45" w:type="dxa"/>
              <w:right w:w="70" w:type="dxa"/>
            </w:tcMar>
          </w:tcPr>
          <w:p w14:paraId="034F59DC" w14:textId="77777777" w:rsidR="00222251" w:rsidRDefault="00000000">
            <w:pPr>
              <w:spacing w:after="20"/>
            </w:pPr>
            <w:r>
              <w:rPr>
                <w:rFonts w:ascii="Arial" w:hAnsi="Arial"/>
                <w:b/>
                <w:color w:val="166534"/>
                <w:sz w:val="16"/>
              </w:rPr>
              <w:t>Haversine GIS Formula &amp; Realization</w:t>
            </w:r>
          </w:p>
          <w:p w14:paraId="1636F84F" w14:textId="77777777" w:rsidR="00222251" w:rsidRDefault="00000000">
            <w:pPr>
              <w:spacing w:after="0" w:line="252" w:lineRule="auto"/>
            </w:pPr>
            <w:r>
              <w:rPr>
                <w:rFonts w:ascii="Arial" w:hAnsi="Arial"/>
                <w:color w:val="14532D"/>
                <w:sz w:val="15"/>
              </w:rPr>
              <w:t>Distance (d) = 2R · arcsin(√(sin²(Δφ/2) + cos(φ1)cos(φ2)sin²(Δλ/2)))</w:t>
            </w:r>
            <w:r>
              <w:rPr>
                <w:rFonts w:ascii="Arial" w:hAnsi="Arial"/>
                <w:color w:val="14532D"/>
                <w:sz w:val="15"/>
              </w:rPr>
              <w:br/>
              <w:t>Earth R = 6,371 km; Δφ = φ2 - φ1; Δλ = λ2 - λ1</w:t>
            </w:r>
            <w:r>
              <w:rPr>
                <w:rFonts w:ascii="Arial" w:hAnsi="Arial"/>
                <w:color w:val="14532D"/>
                <w:sz w:val="15"/>
              </w:rPr>
              <w:br/>
            </w:r>
            <w:r>
              <w:rPr>
                <w:rFonts w:ascii="Arial" w:hAnsi="Arial"/>
                <w:color w:val="14532D"/>
                <w:sz w:val="15"/>
              </w:rPr>
              <w:br/>
              <w:t>• Freight Cost = Distance (km) × ₹22 / km</w:t>
            </w:r>
            <w:r>
              <w:rPr>
                <w:rFonts w:ascii="Arial" w:hAnsi="Arial"/>
                <w:color w:val="14532D"/>
                <w:sz w:val="15"/>
              </w:rPr>
              <w:br/>
              <w:t>• APMC Market Cess = 1.05% of Gross Consignment Value</w:t>
            </w:r>
            <w:r>
              <w:rPr>
                <w:rFonts w:ascii="Arial" w:hAnsi="Arial"/>
                <w:color w:val="14532D"/>
                <w:sz w:val="15"/>
              </w:rPr>
              <w:br/>
              <w:t>• Labor &amp; Handling = Quantity (Qtl) × ₹45 / Qtl</w:t>
            </w:r>
            <w:r>
              <w:rPr>
                <w:rFonts w:ascii="Arial" w:hAnsi="Arial"/>
                <w:color w:val="14532D"/>
                <w:sz w:val="15"/>
              </w:rPr>
              <w:br/>
              <w:t>Net Take-Home (₹/Qtl) = [Gross - (Freight+Cess+Labor)] / Qtl</w:t>
            </w:r>
          </w:p>
        </w:tc>
        <w:tc>
          <w:tcPr>
            <w:tcW w:w="5112" w:type="dxa"/>
            <w:gridSpan w:val="2"/>
            <w:shd w:val="clear" w:color="auto" w:fill="F8FAFC"/>
            <w:tcMar>
              <w:top w:w="45" w:type="dxa"/>
              <w:left w:w="70" w:type="dxa"/>
              <w:bottom w:w="45" w:type="dxa"/>
              <w:right w:w="70" w:type="dxa"/>
            </w:tcMar>
          </w:tcPr>
          <w:p w14:paraId="55E0A8B2" w14:textId="77777777" w:rsidR="00222251" w:rsidRDefault="00000000">
            <w:pPr>
              <w:spacing w:after="20"/>
            </w:pPr>
            <w:r>
              <w:rPr>
                <w:rFonts w:ascii="Arial" w:hAnsi="Arial"/>
                <w:b/>
                <w:color w:val="1B365D"/>
                <w:sz w:val="16"/>
              </w:rPr>
              <w:t>4-Stage Escrow Milestone State Machine</w:t>
            </w:r>
          </w:p>
          <w:p w14:paraId="26B495C6" w14:textId="77777777" w:rsidR="00222251" w:rsidRDefault="00000000">
            <w:pPr>
              <w:spacing w:after="0" w:line="252" w:lineRule="auto"/>
            </w:pPr>
            <w:r>
              <w:rPr>
                <w:rFonts w:ascii="Arial" w:hAnsi="Arial"/>
                <w:color w:val="1E293B"/>
                <w:sz w:val="15"/>
              </w:rPr>
              <w:t>[1. E-Signatures Completed] (Aadhaar OTP + Buyer Token)</w:t>
            </w:r>
            <w:r>
              <w:rPr>
                <w:rFonts w:ascii="Arial" w:hAnsi="Arial"/>
                <w:color w:val="1E293B"/>
                <w:sz w:val="15"/>
              </w:rPr>
              <w:br/>
              <w:t xml:space="preserve">               │</w:t>
            </w:r>
            <w:r>
              <w:rPr>
                <w:rFonts w:ascii="Arial" w:hAnsi="Arial"/>
                <w:color w:val="1E293B"/>
                <w:sz w:val="15"/>
              </w:rPr>
              <w:br/>
              <w:t xml:space="preserve">               ▼</w:t>
            </w:r>
            <w:r>
              <w:rPr>
                <w:rFonts w:ascii="Arial" w:hAnsi="Arial"/>
                <w:color w:val="1E293B"/>
                <w:sz w:val="15"/>
              </w:rPr>
              <w:br/>
              <w:t>[2. 50% Advance Escrow Locked] (Buyer deposits 50%)</w:t>
            </w:r>
            <w:r>
              <w:rPr>
                <w:rFonts w:ascii="Arial" w:hAnsi="Arial"/>
                <w:color w:val="1E293B"/>
                <w:sz w:val="15"/>
              </w:rPr>
              <w:br/>
              <w:t xml:space="preserve">               │</w:t>
            </w:r>
            <w:r>
              <w:rPr>
                <w:rFonts w:ascii="Arial" w:hAnsi="Arial"/>
                <w:color w:val="1E293B"/>
                <w:sz w:val="15"/>
              </w:rPr>
              <w:br/>
              <w:t xml:space="preserve">               ▼</w:t>
            </w:r>
            <w:r>
              <w:rPr>
                <w:rFonts w:ascii="Arial" w:hAnsi="Arial"/>
                <w:color w:val="1E293B"/>
                <w:sz w:val="15"/>
              </w:rPr>
              <w:br/>
              <w:t>[3. Produce Dispatched] (Transit active; 50% released to farmer)</w:t>
            </w:r>
            <w:r>
              <w:rPr>
                <w:rFonts w:ascii="Arial" w:hAnsi="Arial"/>
                <w:color w:val="1E293B"/>
                <w:sz w:val="15"/>
              </w:rPr>
              <w:br/>
              <w:t xml:space="preserve">               │</w:t>
            </w:r>
            <w:r>
              <w:rPr>
                <w:rFonts w:ascii="Arial" w:hAnsi="Arial"/>
                <w:color w:val="1E293B"/>
                <w:sz w:val="15"/>
              </w:rPr>
              <w:br/>
              <w:t xml:space="preserve">               ▼</w:t>
            </w:r>
            <w:r>
              <w:rPr>
                <w:rFonts w:ascii="Arial" w:hAnsi="Arial"/>
                <w:color w:val="1E293B"/>
                <w:sz w:val="15"/>
              </w:rPr>
              <w:br/>
              <w:t>[4. APMC Gate Weighment &amp; Final Payout] (Balance released)</w:t>
            </w:r>
          </w:p>
        </w:tc>
      </w:tr>
    </w:tbl>
    <w:p w14:paraId="26BACC8E" w14:textId="77777777" w:rsidR="00222251" w:rsidRDefault="00000000">
      <w:r>
        <w:br w:type="page"/>
      </w:r>
    </w:p>
    <w:p w14:paraId="67462FF0" w14:textId="77777777" w:rsidR="00222251" w:rsidRDefault="00000000">
      <w:pPr>
        <w:keepNext/>
        <w:spacing w:before="140" w:after="40"/>
      </w:pPr>
      <w:r>
        <w:rPr>
          <w:rFonts w:ascii="Arial" w:hAnsi="Arial"/>
          <w:b/>
          <w:color w:val="1B365D"/>
        </w:rPr>
        <w:lastRenderedPageBreak/>
        <w:t>4. Feasibility and Viability</w:t>
      </w:r>
    </w:p>
    <w:p w14:paraId="0AA9E78D" w14:textId="77777777" w:rsidR="00222251" w:rsidRDefault="00000000">
      <w:pPr>
        <w:keepNext/>
        <w:spacing w:before="90" w:after="30"/>
      </w:pPr>
      <w:r>
        <w:rPr>
          <w:rFonts w:ascii="Arial" w:hAnsi="Arial"/>
          <w:b/>
          <w:color w:val="2B6CB0"/>
          <w:sz w:val="19"/>
        </w:rPr>
        <w:t>Multi-Pillar Feasibility Analysis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592"/>
        <w:gridCol w:w="7632"/>
      </w:tblGrid>
      <w:tr w:rsidR="00222251" w14:paraId="266BE145" w14:textId="77777777">
        <w:trPr>
          <w:cantSplit/>
          <w:jc w:val="center"/>
        </w:trPr>
        <w:tc>
          <w:tcPr>
            <w:tcW w:w="2592" w:type="dxa"/>
            <w:shd w:val="clear" w:color="auto" w:fill="1B365D"/>
            <w:tcMar>
              <w:top w:w="50" w:type="dxa"/>
              <w:left w:w="90" w:type="dxa"/>
              <w:bottom w:w="50" w:type="dxa"/>
              <w:right w:w="90" w:type="dxa"/>
            </w:tcMar>
          </w:tcPr>
          <w:p w14:paraId="3324CC23" w14:textId="77777777" w:rsidR="00222251" w:rsidRDefault="00000000">
            <w:pPr>
              <w:spacing w:after="0"/>
            </w:pPr>
            <w:r>
              <w:rPr>
                <w:rFonts w:ascii="Arial" w:hAnsi="Arial"/>
                <w:b/>
                <w:color w:val="FFFFFF"/>
                <w:sz w:val="16"/>
              </w:rPr>
              <w:t>Feasibility Dimension</w:t>
            </w:r>
          </w:p>
        </w:tc>
        <w:tc>
          <w:tcPr>
            <w:tcW w:w="7632" w:type="dxa"/>
            <w:shd w:val="clear" w:color="auto" w:fill="1B365D"/>
            <w:tcMar>
              <w:top w:w="50" w:type="dxa"/>
              <w:left w:w="90" w:type="dxa"/>
              <w:bottom w:w="50" w:type="dxa"/>
              <w:right w:w="90" w:type="dxa"/>
            </w:tcMar>
          </w:tcPr>
          <w:p w14:paraId="25B8323C" w14:textId="77777777" w:rsidR="00222251" w:rsidRDefault="00000000">
            <w:pPr>
              <w:spacing w:after="0"/>
            </w:pPr>
            <w:r>
              <w:rPr>
                <w:rFonts w:ascii="Arial" w:hAnsi="Arial"/>
                <w:b/>
                <w:color w:val="FFFFFF"/>
                <w:sz w:val="16"/>
              </w:rPr>
              <w:t>Implementation &amp; Non-Functional Verification</w:t>
            </w:r>
          </w:p>
        </w:tc>
      </w:tr>
      <w:tr w:rsidR="00222251" w14:paraId="64224430" w14:textId="77777777">
        <w:trPr>
          <w:cantSplit/>
          <w:jc w:val="center"/>
        </w:trPr>
        <w:tc>
          <w:tcPr>
            <w:tcW w:w="2592" w:type="dxa"/>
            <w:shd w:val="clear" w:color="auto" w:fill="FFFFFF"/>
            <w:tcMar>
              <w:top w:w="45" w:type="dxa"/>
              <w:left w:w="90" w:type="dxa"/>
              <w:bottom w:w="45" w:type="dxa"/>
              <w:right w:w="90" w:type="dxa"/>
            </w:tcMar>
          </w:tcPr>
          <w:p w14:paraId="13ADD3C2" w14:textId="77777777" w:rsidR="00222251" w:rsidRDefault="00000000">
            <w:pPr>
              <w:spacing w:after="0" w:line="259" w:lineRule="auto"/>
            </w:pPr>
            <w:r>
              <w:rPr>
                <w:rFonts w:ascii="Arial" w:hAnsi="Arial"/>
                <w:b/>
                <w:color w:val="1E293B"/>
                <w:sz w:val="16"/>
              </w:rPr>
              <w:t>Technical Feasibility</w:t>
            </w:r>
          </w:p>
        </w:tc>
        <w:tc>
          <w:tcPr>
            <w:tcW w:w="7632" w:type="dxa"/>
            <w:shd w:val="clear" w:color="auto" w:fill="FFFFFF"/>
            <w:tcMar>
              <w:top w:w="45" w:type="dxa"/>
              <w:left w:w="90" w:type="dxa"/>
              <w:bottom w:w="45" w:type="dxa"/>
              <w:right w:w="90" w:type="dxa"/>
            </w:tcMar>
          </w:tcPr>
          <w:p w14:paraId="0EA17C17" w14:textId="77777777" w:rsidR="00222251" w:rsidRDefault="00000000">
            <w:pPr>
              <w:spacing w:after="0" w:line="259" w:lineRule="auto"/>
            </w:pPr>
            <w:r>
              <w:rPr>
                <w:rFonts w:ascii="Arial" w:hAnsi="Arial"/>
                <w:color w:val="334155"/>
                <w:sz w:val="16"/>
              </w:rPr>
              <w:t>Built on production-grade Supabase managed PostgreSQL and Vite React 19. Initial page loads achieve &lt;1.5s on rural 3G networks; UI response latency remains sub-100ms. Bundle compilation clocks in at ~310ms. Integrated in-memory reactive fallback engine guarantees 100% demo uptime and resilient offline execution during network drops.</w:t>
            </w:r>
          </w:p>
        </w:tc>
      </w:tr>
      <w:tr w:rsidR="00222251" w14:paraId="385E5E70" w14:textId="77777777">
        <w:trPr>
          <w:cantSplit/>
          <w:jc w:val="center"/>
        </w:trPr>
        <w:tc>
          <w:tcPr>
            <w:tcW w:w="2592" w:type="dxa"/>
            <w:shd w:val="clear" w:color="auto" w:fill="F8FAFC"/>
            <w:tcMar>
              <w:top w:w="45" w:type="dxa"/>
              <w:left w:w="90" w:type="dxa"/>
              <w:bottom w:w="45" w:type="dxa"/>
              <w:right w:w="90" w:type="dxa"/>
            </w:tcMar>
          </w:tcPr>
          <w:p w14:paraId="119ECA5E" w14:textId="77777777" w:rsidR="00222251" w:rsidRDefault="00000000">
            <w:pPr>
              <w:spacing w:after="0" w:line="259" w:lineRule="auto"/>
            </w:pPr>
            <w:r>
              <w:rPr>
                <w:rFonts w:ascii="Arial" w:hAnsi="Arial"/>
                <w:b/>
                <w:color w:val="1E293B"/>
                <w:sz w:val="16"/>
              </w:rPr>
              <w:t>Operational Feasibility</w:t>
            </w:r>
          </w:p>
        </w:tc>
        <w:tc>
          <w:tcPr>
            <w:tcW w:w="7632" w:type="dxa"/>
            <w:shd w:val="clear" w:color="auto" w:fill="F8FAFC"/>
            <w:tcMar>
              <w:top w:w="45" w:type="dxa"/>
              <w:left w:w="90" w:type="dxa"/>
              <w:bottom w:w="45" w:type="dxa"/>
              <w:right w:w="90" w:type="dxa"/>
            </w:tcMar>
          </w:tcPr>
          <w:p w14:paraId="13C64554" w14:textId="77777777" w:rsidR="00222251" w:rsidRDefault="00000000">
            <w:pPr>
              <w:spacing w:after="0" w:line="259" w:lineRule="auto"/>
            </w:pPr>
            <w:r>
              <w:rPr>
                <w:rFonts w:ascii="Arial" w:hAnsi="Arial"/>
                <w:color w:val="334155"/>
                <w:sz w:val="16"/>
              </w:rPr>
              <w:t>Seamlessly maps to established mandi operations under the Maharashtra APMC Act, 1963. Features complete bilingual English and Marathi (मराठी) parity. Persona-aware interfaces tailored for Farmers, Corporate Buyers, APMC Secretaries, and MSAMB Panelists streamline adoption without operational friction.</w:t>
            </w:r>
          </w:p>
        </w:tc>
      </w:tr>
      <w:tr w:rsidR="00222251" w14:paraId="262BDBE4" w14:textId="77777777">
        <w:trPr>
          <w:cantSplit/>
          <w:jc w:val="center"/>
        </w:trPr>
        <w:tc>
          <w:tcPr>
            <w:tcW w:w="2592" w:type="dxa"/>
            <w:shd w:val="clear" w:color="auto" w:fill="FFFFFF"/>
            <w:tcMar>
              <w:top w:w="45" w:type="dxa"/>
              <w:left w:w="90" w:type="dxa"/>
              <w:bottom w:w="45" w:type="dxa"/>
              <w:right w:w="90" w:type="dxa"/>
            </w:tcMar>
          </w:tcPr>
          <w:p w14:paraId="1759CE00" w14:textId="77777777" w:rsidR="00222251" w:rsidRDefault="00000000">
            <w:pPr>
              <w:spacing w:after="0" w:line="259" w:lineRule="auto"/>
            </w:pPr>
            <w:r>
              <w:rPr>
                <w:rFonts w:ascii="Arial" w:hAnsi="Arial"/>
                <w:b/>
                <w:color w:val="1E293B"/>
                <w:sz w:val="16"/>
              </w:rPr>
              <w:t>Economic Feasibility</w:t>
            </w:r>
          </w:p>
        </w:tc>
        <w:tc>
          <w:tcPr>
            <w:tcW w:w="7632" w:type="dxa"/>
            <w:shd w:val="clear" w:color="auto" w:fill="FFFFFF"/>
            <w:tcMar>
              <w:top w:w="45" w:type="dxa"/>
              <w:left w:w="90" w:type="dxa"/>
              <w:bottom w:w="45" w:type="dxa"/>
              <w:right w:w="90" w:type="dxa"/>
            </w:tcMar>
          </w:tcPr>
          <w:p w14:paraId="6B408B46" w14:textId="77777777" w:rsidR="00222251" w:rsidRDefault="00000000">
            <w:pPr>
              <w:spacing w:after="0" w:line="259" w:lineRule="auto"/>
            </w:pPr>
            <w:r>
              <w:rPr>
                <w:rFonts w:ascii="Arial" w:hAnsi="Arial"/>
                <w:color w:val="334155"/>
                <w:sz w:val="16"/>
              </w:rPr>
              <w:t>Serverless cloud deployment completely eliminates high infrastructure capex and ongoing database maintenance costs. Eliminates multi-layered middleman markups (20–35%), while preserving the statutory 1.05% APMC market cess to sustain state infrastructure. 50% advance escrow eliminates working capital credit default risk.</w:t>
            </w:r>
          </w:p>
        </w:tc>
      </w:tr>
      <w:tr w:rsidR="00222251" w14:paraId="7F35A615" w14:textId="77777777">
        <w:trPr>
          <w:cantSplit/>
          <w:jc w:val="center"/>
        </w:trPr>
        <w:tc>
          <w:tcPr>
            <w:tcW w:w="2592" w:type="dxa"/>
            <w:shd w:val="clear" w:color="auto" w:fill="F8FAFC"/>
            <w:tcMar>
              <w:top w:w="45" w:type="dxa"/>
              <w:left w:w="90" w:type="dxa"/>
              <w:bottom w:w="45" w:type="dxa"/>
              <w:right w:w="90" w:type="dxa"/>
            </w:tcMar>
          </w:tcPr>
          <w:p w14:paraId="7B9F7D2F" w14:textId="77777777" w:rsidR="00222251" w:rsidRDefault="00000000">
            <w:pPr>
              <w:spacing w:after="0" w:line="259" w:lineRule="auto"/>
            </w:pPr>
            <w:r>
              <w:rPr>
                <w:rFonts w:ascii="Arial" w:hAnsi="Arial"/>
                <w:b/>
                <w:color w:val="1E293B"/>
                <w:sz w:val="16"/>
              </w:rPr>
              <w:t>Social Feasibility</w:t>
            </w:r>
          </w:p>
        </w:tc>
        <w:tc>
          <w:tcPr>
            <w:tcW w:w="7632" w:type="dxa"/>
            <w:shd w:val="clear" w:color="auto" w:fill="F8FAFC"/>
            <w:tcMar>
              <w:top w:w="45" w:type="dxa"/>
              <w:left w:w="90" w:type="dxa"/>
              <w:bottom w:w="45" w:type="dxa"/>
              <w:right w:w="90" w:type="dxa"/>
            </w:tcMar>
          </w:tcPr>
          <w:p w14:paraId="30927F98" w14:textId="77777777" w:rsidR="00222251" w:rsidRDefault="00000000">
            <w:pPr>
              <w:spacing w:after="0" w:line="259" w:lineRule="auto"/>
            </w:pPr>
            <w:r>
              <w:rPr>
                <w:rFonts w:ascii="Arial" w:hAnsi="Arial"/>
                <w:color w:val="334155"/>
                <w:sz w:val="16"/>
              </w:rPr>
              <w:t>Directly targets smallholders and FPOs who historically suffer price asymmetry and distress selling. Vernacular localization, transparent NABL assay metrics, and time-bound statutory dispute arbitration restore commercial trust, protecting vulnerable farmers from local commission cartels.</w:t>
            </w:r>
          </w:p>
        </w:tc>
      </w:tr>
    </w:tbl>
    <w:p w14:paraId="483178DA" w14:textId="77777777" w:rsidR="00222251" w:rsidRDefault="00000000">
      <w:pPr>
        <w:keepNext/>
        <w:spacing w:before="90" w:after="30"/>
      </w:pPr>
      <w:r>
        <w:rPr>
          <w:rFonts w:ascii="Arial" w:hAnsi="Arial"/>
          <w:b/>
          <w:color w:val="2B6CB0"/>
          <w:sz w:val="19"/>
        </w:rPr>
        <w:t>Risk Awareness &amp; Concrete Mitigation Strategies</w:t>
      </w:r>
    </w:p>
    <w:p w14:paraId="2CF61B8A" w14:textId="77777777" w:rsidR="00222251" w:rsidRDefault="00000000">
      <w:pPr>
        <w:spacing w:after="40" w:line="264" w:lineRule="auto"/>
      </w:pPr>
      <w:r>
        <w:rPr>
          <w:rFonts w:ascii="Arial" w:hAnsi="Arial"/>
          <w:color w:val="334155"/>
          <w:sz w:val="17"/>
        </w:rPr>
        <w:t>A successful statewide rollout must address practical ground-level friction. The table below outlines key operational risks and AgroConnect's concrete mitigation mechanisms: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592"/>
        <w:gridCol w:w="3168"/>
        <w:gridCol w:w="4464"/>
      </w:tblGrid>
      <w:tr w:rsidR="00222251" w14:paraId="5402AE89" w14:textId="77777777">
        <w:trPr>
          <w:cantSplit/>
          <w:jc w:val="center"/>
        </w:trPr>
        <w:tc>
          <w:tcPr>
            <w:tcW w:w="2592" w:type="dxa"/>
            <w:shd w:val="clear" w:color="auto" w:fill="1B365D"/>
            <w:tcMar>
              <w:top w:w="50" w:type="dxa"/>
              <w:left w:w="90" w:type="dxa"/>
              <w:bottom w:w="50" w:type="dxa"/>
              <w:right w:w="90" w:type="dxa"/>
            </w:tcMar>
          </w:tcPr>
          <w:p w14:paraId="788B3686" w14:textId="77777777" w:rsidR="00222251" w:rsidRDefault="00000000">
            <w:pPr>
              <w:spacing w:after="0"/>
            </w:pPr>
            <w:r>
              <w:rPr>
                <w:rFonts w:ascii="Arial" w:hAnsi="Arial"/>
                <w:b/>
                <w:color w:val="FFFFFF"/>
                <w:sz w:val="16"/>
              </w:rPr>
              <w:t>Potential Challenge</w:t>
            </w:r>
          </w:p>
        </w:tc>
        <w:tc>
          <w:tcPr>
            <w:tcW w:w="3168" w:type="dxa"/>
            <w:shd w:val="clear" w:color="auto" w:fill="1B365D"/>
            <w:tcMar>
              <w:top w:w="50" w:type="dxa"/>
              <w:left w:w="90" w:type="dxa"/>
              <w:bottom w:w="50" w:type="dxa"/>
              <w:right w:w="90" w:type="dxa"/>
            </w:tcMar>
          </w:tcPr>
          <w:p w14:paraId="0FB7B821" w14:textId="77777777" w:rsidR="00222251" w:rsidRDefault="00000000">
            <w:pPr>
              <w:spacing w:after="0"/>
            </w:pPr>
            <w:r>
              <w:rPr>
                <w:rFonts w:ascii="Arial" w:hAnsi="Arial"/>
                <w:b/>
                <w:color w:val="FFFFFF"/>
                <w:sz w:val="16"/>
              </w:rPr>
              <w:t>Operational Vulnerability</w:t>
            </w:r>
          </w:p>
        </w:tc>
        <w:tc>
          <w:tcPr>
            <w:tcW w:w="4464" w:type="dxa"/>
            <w:shd w:val="clear" w:color="auto" w:fill="1B365D"/>
            <w:tcMar>
              <w:top w:w="50" w:type="dxa"/>
              <w:left w:w="90" w:type="dxa"/>
              <w:bottom w:w="50" w:type="dxa"/>
              <w:right w:w="90" w:type="dxa"/>
            </w:tcMar>
          </w:tcPr>
          <w:p w14:paraId="161F90CC" w14:textId="77777777" w:rsidR="00222251" w:rsidRDefault="00000000">
            <w:pPr>
              <w:spacing w:after="0"/>
            </w:pPr>
            <w:r>
              <w:rPr>
                <w:rFonts w:ascii="Arial" w:hAnsi="Arial"/>
                <w:b/>
                <w:color w:val="FFFFFF"/>
                <w:sz w:val="16"/>
              </w:rPr>
              <w:t>Concrete Mitigation Strategy</w:t>
            </w:r>
          </w:p>
        </w:tc>
      </w:tr>
      <w:tr w:rsidR="00222251" w14:paraId="6D97EE08" w14:textId="77777777">
        <w:trPr>
          <w:cantSplit/>
          <w:jc w:val="center"/>
        </w:trPr>
        <w:tc>
          <w:tcPr>
            <w:tcW w:w="2592" w:type="dxa"/>
            <w:shd w:val="clear" w:color="auto" w:fill="FFFFFF"/>
            <w:tcMar>
              <w:top w:w="45" w:type="dxa"/>
              <w:left w:w="90" w:type="dxa"/>
              <w:bottom w:w="45" w:type="dxa"/>
              <w:right w:w="90" w:type="dxa"/>
            </w:tcMar>
          </w:tcPr>
          <w:p w14:paraId="05EEA21A" w14:textId="77777777" w:rsidR="00222251" w:rsidRDefault="00000000">
            <w:pPr>
              <w:spacing w:after="0" w:line="259" w:lineRule="auto"/>
            </w:pPr>
            <w:r>
              <w:rPr>
                <w:rFonts w:ascii="Arial" w:hAnsi="Arial"/>
                <w:b/>
                <w:color w:val="1E293B"/>
                <w:sz w:val="16"/>
              </w:rPr>
              <w:t>Farmer Digital Literacy</w:t>
            </w:r>
          </w:p>
        </w:tc>
        <w:tc>
          <w:tcPr>
            <w:tcW w:w="3168" w:type="dxa"/>
            <w:shd w:val="clear" w:color="auto" w:fill="FFFFFF"/>
            <w:tcMar>
              <w:top w:w="45" w:type="dxa"/>
              <w:left w:w="90" w:type="dxa"/>
              <w:bottom w:w="45" w:type="dxa"/>
              <w:right w:w="90" w:type="dxa"/>
            </w:tcMar>
          </w:tcPr>
          <w:p w14:paraId="2ECD7B3D" w14:textId="77777777" w:rsidR="00222251" w:rsidRDefault="00000000">
            <w:pPr>
              <w:spacing w:after="0" w:line="259" w:lineRule="auto"/>
            </w:pPr>
            <w:r>
              <w:rPr>
                <w:rFonts w:ascii="Arial" w:hAnsi="Arial"/>
                <w:color w:val="334155"/>
                <w:sz w:val="16"/>
              </w:rPr>
              <w:t>Smallholders may hesitate navigating complex digital interfaces.</w:t>
            </w:r>
          </w:p>
        </w:tc>
        <w:tc>
          <w:tcPr>
            <w:tcW w:w="4464" w:type="dxa"/>
            <w:shd w:val="clear" w:color="auto" w:fill="FFFFFF"/>
            <w:tcMar>
              <w:top w:w="45" w:type="dxa"/>
              <w:left w:w="90" w:type="dxa"/>
              <w:bottom w:w="45" w:type="dxa"/>
              <w:right w:w="90" w:type="dxa"/>
            </w:tcMar>
          </w:tcPr>
          <w:p w14:paraId="1BFDAB0E" w14:textId="77777777" w:rsidR="00222251" w:rsidRDefault="00000000">
            <w:pPr>
              <w:spacing w:after="0" w:line="259" w:lineRule="auto"/>
            </w:pPr>
            <w:r>
              <w:rPr>
                <w:rFonts w:ascii="Arial" w:hAnsi="Arial"/>
                <w:color w:val="334155"/>
                <w:sz w:val="16"/>
              </w:rPr>
              <w:t>Full Marathi vernacular localization, high-contrast crop icons, simplified 3-step lot listing, FPO lead-delegated aggregation, and physical printable QR lot tags.</w:t>
            </w:r>
          </w:p>
        </w:tc>
      </w:tr>
      <w:tr w:rsidR="00222251" w14:paraId="3C279C33" w14:textId="77777777">
        <w:trPr>
          <w:cantSplit/>
          <w:jc w:val="center"/>
        </w:trPr>
        <w:tc>
          <w:tcPr>
            <w:tcW w:w="2592" w:type="dxa"/>
            <w:shd w:val="clear" w:color="auto" w:fill="F8FAFC"/>
            <w:tcMar>
              <w:top w:w="45" w:type="dxa"/>
              <w:left w:w="90" w:type="dxa"/>
              <w:bottom w:w="45" w:type="dxa"/>
              <w:right w:w="90" w:type="dxa"/>
            </w:tcMar>
          </w:tcPr>
          <w:p w14:paraId="7893A0B7" w14:textId="77777777" w:rsidR="00222251" w:rsidRDefault="00000000">
            <w:pPr>
              <w:spacing w:after="0" w:line="259" w:lineRule="auto"/>
            </w:pPr>
            <w:r>
              <w:rPr>
                <w:rFonts w:ascii="Arial" w:hAnsi="Arial"/>
                <w:b/>
                <w:color w:val="1E293B"/>
                <w:sz w:val="16"/>
              </w:rPr>
              <w:t>Rural Network Connectivity</w:t>
            </w:r>
          </w:p>
        </w:tc>
        <w:tc>
          <w:tcPr>
            <w:tcW w:w="3168" w:type="dxa"/>
            <w:shd w:val="clear" w:color="auto" w:fill="F8FAFC"/>
            <w:tcMar>
              <w:top w:w="45" w:type="dxa"/>
              <w:left w:w="90" w:type="dxa"/>
              <w:bottom w:w="45" w:type="dxa"/>
              <w:right w:w="90" w:type="dxa"/>
            </w:tcMar>
          </w:tcPr>
          <w:p w14:paraId="52897767" w14:textId="77777777" w:rsidR="00222251" w:rsidRDefault="00000000">
            <w:pPr>
              <w:spacing w:after="0" w:line="259" w:lineRule="auto"/>
            </w:pPr>
            <w:r>
              <w:rPr>
                <w:rFonts w:ascii="Arial" w:hAnsi="Arial"/>
                <w:color w:val="334155"/>
                <w:sz w:val="16"/>
              </w:rPr>
              <w:t>Intermittent or degraded 2G/3G mobile data connectivity in remote villages.</w:t>
            </w:r>
          </w:p>
        </w:tc>
        <w:tc>
          <w:tcPr>
            <w:tcW w:w="4464" w:type="dxa"/>
            <w:shd w:val="clear" w:color="auto" w:fill="F8FAFC"/>
            <w:tcMar>
              <w:top w:w="45" w:type="dxa"/>
              <w:left w:w="90" w:type="dxa"/>
              <w:bottom w:w="45" w:type="dxa"/>
              <w:right w:w="90" w:type="dxa"/>
            </w:tcMar>
          </w:tcPr>
          <w:p w14:paraId="7EB68C0C" w14:textId="77777777" w:rsidR="00222251" w:rsidRDefault="00000000">
            <w:pPr>
              <w:spacing w:after="0" w:line="259" w:lineRule="auto"/>
            </w:pPr>
            <w:r>
              <w:rPr>
                <w:rFonts w:ascii="Arial" w:hAnsi="Arial"/>
                <w:color w:val="334155"/>
                <w:sz w:val="16"/>
              </w:rPr>
              <w:t>Lightweight Vite SPA architecture (&lt;350KB gzip), sub-1.5s load time, local caching, and an automated in-memory reactive fallback engine that buffers inputs offline and auto-syncs on reconnect.</w:t>
            </w:r>
          </w:p>
        </w:tc>
      </w:tr>
      <w:tr w:rsidR="00222251" w14:paraId="4C74ACC8" w14:textId="77777777">
        <w:trPr>
          <w:cantSplit/>
          <w:jc w:val="center"/>
        </w:trPr>
        <w:tc>
          <w:tcPr>
            <w:tcW w:w="2592" w:type="dxa"/>
            <w:shd w:val="clear" w:color="auto" w:fill="FFFFFF"/>
            <w:tcMar>
              <w:top w:w="45" w:type="dxa"/>
              <w:left w:w="90" w:type="dxa"/>
              <w:bottom w:w="45" w:type="dxa"/>
              <w:right w:w="90" w:type="dxa"/>
            </w:tcMar>
          </w:tcPr>
          <w:p w14:paraId="56A02379" w14:textId="77777777" w:rsidR="00222251" w:rsidRDefault="00000000">
            <w:pPr>
              <w:spacing w:after="0" w:line="259" w:lineRule="auto"/>
            </w:pPr>
            <w:r>
              <w:rPr>
                <w:rFonts w:ascii="Arial" w:hAnsi="Arial"/>
                <w:b/>
                <w:color w:val="1E293B"/>
                <w:sz w:val="16"/>
              </w:rPr>
              <w:t>Buyer Trust &amp; Quality Verification</w:t>
            </w:r>
          </w:p>
        </w:tc>
        <w:tc>
          <w:tcPr>
            <w:tcW w:w="3168" w:type="dxa"/>
            <w:shd w:val="clear" w:color="auto" w:fill="FFFFFF"/>
            <w:tcMar>
              <w:top w:w="45" w:type="dxa"/>
              <w:left w:w="90" w:type="dxa"/>
              <w:bottom w:w="45" w:type="dxa"/>
              <w:right w:w="90" w:type="dxa"/>
            </w:tcMar>
          </w:tcPr>
          <w:p w14:paraId="587DB5B8" w14:textId="77777777" w:rsidR="00222251" w:rsidRDefault="00000000">
            <w:pPr>
              <w:spacing w:after="0" w:line="259" w:lineRule="auto"/>
            </w:pPr>
            <w:r>
              <w:rPr>
                <w:rFonts w:ascii="Arial" w:hAnsi="Arial"/>
                <w:color w:val="334155"/>
                <w:sz w:val="16"/>
              </w:rPr>
              <w:t>Institutional buyers fear quality variance or moisture discrepancies at farmgate.</w:t>
            </w:r>
          </w:p>
        </w:tc>
        <w:tc>
          <w:tcPr>
            <w:tcW w:w="4464" w:type="dxa"/>
            <w:shd w:val="clear" w:color="auto" w:fill="FFFFFF"/>
            <w:tcMar>
              <w:top w:w="45" w:type="dxa"/>
              <w:left w:w="90" w:type="dxa"/>
              <w:bottom w:w="45" w:type="dxa"/>
              <w:right w:w="90" w:type="dxa"/>
            </w:tcMar>
          </w:tcPr>
          <w:p w14:paraId="69B128BC" w14:textId="77777777" w:rsidR="00222251" w:rsidRDefault="00000000">
            <w:pPr>
              <w:spacing w:after="0" w:line="259" w:lineRule="auto"/>
            </w:pPr>
            <w:r>
              <w:rPr>
                <w:rFonts w:ascii="Arial" w:hAnsi="Arial"/>
                <w:color w:val="334155"/>
                <w:sz w:val="16"/>
              </w:rPr>
              <w:t>Integration of NABL-accredited laboratory assay certificates, tamper-evident QR lot tags, and 50% escrow retention until physical APMC gate weighment and inspection sign-off.</w:t>
            </w:r>
          </w:p>
        </w:tc>
      </w:tr>
      <w:tr w:rsidR="00222251" w14:paraId="25848431" w14:textId="77777777">
        <w:trPr>
          <w:cantSplit/>
          <w:jc w:val="center"/>
        </w:trPr>
        <w:tc>
          <w:tcPr>
            <w:tcW w:w="2592" w:type="dxa"/>
            <w:shd w:val="clear" w:color="auto" w:fill="F8FAFC"/>
            <w:tcMar>
              <w:top w:w="45" w:type="dxa"/>
              <w:left w:w="90" w:type="dxa"/>
              <w:bottom w:w="45" w:type="dxa"/>
              <w:right w:w="90" w:type="dxa"/>
            </w:tcMar>
          </w:tcPr>
          <w:p w14:paraId="3315517E" w14:textId="77777777" w:rsidR="00222251" w:rsidRDefault="00000000">
            <w:pPr>
              <w:spacing w:after="0" w:line="259" w:lineRule="auto"/>
            </w:pPr>
            <w:r>
              <w:rPr>
                <w:rFonts w:ascii="Arial" w:hAnsi="Arial"/>
                <w:b/>
                <w:color w:val="1E293B"/>
                <w:sz w:val="16"/>
              </w:rPr>
              <w:t>Government API Latency &amp; Anomalies</w:t>
            </w:r>
          </w:p>
        </w:tc>
        <w:tc>
          <w:tcPr>
            <w:tcW w:w="3168" w:type="dxa"/>
            <w:shd w:val="clear" w:color="auto" w:fill="F8FAFC"/>
            <w:tcMar>
              <w:top w:w="45" w:type="dxa"/>
              <w:left w:w="90" w:type="dxa"/>
              <w:bottom w:w="45" w:type="dxa"/>
              <w:right w:w="90" w:type="dxa"/>
            </w:tcMar>
          </w:tcPr>
          <w:p w14:paraId="53E42AA2" w14:textId="77777777" w:rsidR="00222251" w:rsidRDefault="00000000">
            <w:pPr>
              <w:spacing w:after="0" w:line="259" w:lineRule="auto"/>
            </w:pPr>
            <w:r>
              <w:rPr>
                <w:rFonts w:ascii="Arial" w:hAnsi="Arial"/>
                <w:color w:val="334155"/>
                <w:sz w:val="16"/>
              </w:rPr>
              <w:t>Spurious reporting or latency spikes from public mandi price feeds.</w:t>
            </w:r>
          </w:p>
        </w:tc>
        <w:tc>
          <w:tcPr>
            <w:tcW w:w="4464" w:type="dxa"/>
            <w:shd w:val="clear" w:color="auto" w:fill="F8FAFC"/>
            <w:tcMar>
              <w:top w:w="45" w:type="dxa"/>
              <w:left w:w="90" w:type="dxa"/>
              <w:bottom w:w="45" w:type="dxa"/>
              <w:right w:w="90" w:type="dxa"/>
            </w:tcMar>
          </w:tcPr>
          <w:p w14:paraId="73447D36" w14:textId="77777777" w:rsidR="00222251" w:rsidRDefault="00000000">
            <w:pPr>
              <w:spacing w:after="0" w:line="259" w:lineRule="auto"/>
            </w:pPr>
            <w:r>
              <w:rPr>
                <w:rFonts w:ascii="Arial" w:hAnsi="Arial"/>
                <w:color w:val="334155"/>
                <w:sz w:val="16"/>
              </w:rPr>
              <w:t>Automated Interquartile Range (IQR) outlier sanitization filter to purge anomalous price spikes, combined with multi-source validation across Agmarknet, eNAM, and MSAMB.</w:t>
            </w:r>
          </w:p>
        </w:tc>
      </w:tr>
    </w:tbl>
    <w:p w14:paraId="67D02424" w14:textId="77777777" w:rsidR="00222251" w:rsidRDefault="00000000">
      <w:r>
        <w:br w:type="page"/>
      </w:r>
    </w:p>
    <w:p w14:paraId="370758D6" w14:textId="77777777" w:rsidR="00222251" w:rsidRDefault="00000000">
      <w:pPr>
        <w:keepNext/>
        <w:spacing w:before="140" w:after="40"/>
      </w:pPr>
      <w:r>
        <w:rPr>
          <w:rFonts w:ascii="Arial" w:hAnsi="Arial"/>
          <w:b/>
          <w:color w:val="1B365D"/>
        </w:rPr>
        <w:lastRenderedPageBreak/>
        <w:t>5. Impact and Benefits</w:t>
      </w:r>
    </w:p>
    <w:p w14:paraId="2FE7E8D4" w14:textId="77777777" w:rsidR="00222251" w:rsidRDefault="00000000">
      <w:pPr>
        <w:spacing w:after="40" w:line="264" w:lineRule="auto"/>
      </w:pPr>
      <w:r>
        <w:rPr>
          <w:rFonts w:ascii="Arial" w:hAnsi="Arial"/>
          <w:color w:val="334155"/>
          <w:sz w:val="17"/>
        </w:rPr>
        <w:t>AgroConnect generates quantifiable value across economic, social, environmental, and governance domains. Projections reflect targeted field outcomes based on official APMC baselines, while platform capabilities reflect fully implemented and demonstrable software systems: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304"/>
        <w:gridCol w:w="3600"/>
        <w:gridCol w:w="4320"/>
      </w:tblGrid>
      <w:tr w:rsidR="00222251" w14:paraId="0E53D20C" w14:textId="77777777">
        <w:trPr>
          <w:cantSplit/>
          <w:jc w:val="center"/>
        </w:trPr>
        <w:tc>
          <w:tcPr>
            <w:tcW w:w="2304" w:type="dxa"/>
            <w:shd w:val="clear" w:color="auto" w:fill="1B365D"/>
            <w:tcMar>
              <w:top w:w="50" w:type="dxa"/>
              <w:left w:w="90" w:type="dxa"/>
              <w:bottom w:w="50" w:type="dxa"/>
              <w:right w:w="90" w:type="dxa"/>
            </w:tcMar>
          </w:tcPr>
          <w:p w14:paraId="6EDBD3BF" w14:textId="77777777" w:rsidR="00222251" w:rsidRDefault="00000000">
            <w:pPr>
              <w:spacing w:after="0"/>
            </w:pPr>
            <w:r>
              <w:rPr>
                <w:rFonts w:ascii="Arial" w:hAnsi="Arial"/>
                <w:b/>
                <w:color w:val="FFFFFF"/>
                <w:sz w:val="16"/>
              </w:rPr>
              <w:t>Impact Category</w:t>
            </w:r>
          </w:p>
        </w:tc>
        <w:tc>
          <w:tcPr>
            <w:tcW w:w="3600" w:type="dxa"/>
            <w:shd w:val="clear" w:color="auto" w:fill="1B365D"/>
            <w:tcMar>
              <w:top w:w="50" w:type="dxa"/>
              <w:left w:w="90" w:type="dxa"/>
              <w:bottom w:w="50" w:type="dxa"/>
              <w:right w:w="90" w:type="dxa"/>
            </w:tcMar>
          </w:tcPr>
          <w:p w14:paraId="02573236" w14:textId="77777777" w:rsidR="00222251" w:rsidRDefault="00000000">
            <w:pPr>
              <w:spacing w:after="0"/>
            </w:pPr>
            <w:r>
              <w:rPr>
                <w:rFonts w:ascii="Arial" w:hAnsi="Arial"/>
                <w:b/>
                <w:color w:val="FFFFFF"/>
                <w:sz w:val="16"/>
              </w:rPr>
              <w:t>Key Outcome &amp; Quantitative Metric</w:t>
            </w:r>
          </w:p>
        </w:tc>
        <w:tc>
          <w:tcPr>
            <w:tcW w:w="4320" w:type="dxa"/>
            <w:shd w:val="clear" w:color="auto" w:fill="1B365D"/>
            <w:tcMar>
              <w:top w:w="50" w:type="dxa"/>
              <w:left w:w="90" w:type="dxa"/>
              <w:bottom w:w="50" w:type="dxa"/>
              <w:right w:w="90" w:type="dxa"/>
            </w:tcMar>
          </w:tcPr>
          <w:p w14:paraId="662E03C7" w14:textId="77777777" w:rsidR="00222251" w:rsidRDefault="00000000">
            <w:pPr>
              <w:spacing w:after="0"/>
            </w:pPr>
            <w:r>
              <w:rPr>
                <w:rFonts w:ascii="Arial" w:hAnsi="Arial"/>
                <w:b/>
                <w:color w:val="FFFFFF"/>
                <w:sz w:val="16"/>
              </w:rPr>
              <w:t>Classification &amp; Operational Mechanism</w:t>
            </w:r>
          </w:p>
        </w:tc>
      </w:tr>
      <w:tr w:rsidR="00222251" w14:paraId="4704E423" w14:textId="77777777">
        <w:trPr>
          <w:cantSplit/>
          <w:jc w:val="center"/>
        </w:trPr>
        <w:tc>
          <w:tcPr>
            <w:tcW w:w="2304" w:type="dxa"/>
            <w:shd w:val="clear" w:color="auto" w:fill="FFFFFF"/>
            <w:tcMar>
              <w:top w:w="45" w:type="dxa"/>
              <w:left w:w="90" w:type="dxa"/>
              <w:bottom w:w="45" w:type="dxa"/>
              <w:right w:w="90" w:type="dxa"/>
            </w:tcMar>
          </w:tcPr>
          <w:p w14:paraId="40ADDE4A" w14:textId="77777777" w:rsidR="00222251" w:rsidRDefault="00000000">
            <w:pPr>
              <w:spacing w:after="0" w:line="259" w:lineRule="auto"/>
            </w:pPr>
            <w:r>
              <w:rPr>
                <w:rFonts w:ascii="Arial" w:hAnsi="Arial"/>
                <w:b/>
                <w:color w:val="1E293B"/>
                <w:sz w:val="16"/>
              </w:rPr>
              <w:t>Economic Impact</w:t>
            </w:r>
          </w:p>
        </w:tc>
        <w:tc>
          <w:tcPr>
            <w:tcW w:w="3600" w:type="dxa"/>
            <w:shd w:val="clear" w:color="auto" w:fill="FFFFFF"/>
            <w:tcMar>
              <w:top w:w="45" w:type="dxa"/>
              <w:left w:w="90" w:type="dxa"/>
              <w:bottom w:w="45" w:type="dxa"/>
              <w:right w:w="90" w:type="dxa"/>
            </w:tcMar>
          </w:tcPr>
          <w:p w14:paraId="6935A51B" w14:textId="77777777" w:rsidR="00222251" w:rsidRDefault="00000000">
            <w:pPr>
              <w:spacing w:after="0" w:line="259" w:lineRule="auto"/>
            </w:pPr>
            <w:r>
              <w:rPr>
                <w:rFonts w:ascii="Arial" w:hAnsi="Arial"/>
                <w:color w:val="334155"/>
                <w:sz w:val="16"/>
              </w:rPr>
              <w:t>• 15% to 25% Increase in Farmgate Price Realization</w:t>
            </w:r>
            <w:r>
              <w:rPr>
                <w:rFonts w:ascii="Arial" w:hAnsi="Arial"/>
                <w:color w:val="334155"/>
                <w:sz w:val="16"/>
              </w:rPr>
              <w:br/>
              <w:t>• Zero (0%) Counterparty Payment Defaults</w:t>
            </w:r>
            <w:r>
              <w:rPr>
                <w:rFonts w:ascii="Arial" w:hAnsi="Arial"/>
                <w:color w:val="334155"/>
                <w:sz w:val="16"/>
              </w:rPr>
              <w:br/>
              <w:t>• Elimination of 20–35% Middleman Margin Extraction</w:t>
            </w:r>
          </w:p>
        </w:tc>
        <w:tc>
          <w:tcPr>
            <w:tcW w:w="4320" w:type="dxa"/>
            <w:shd w:val="clear" w:color="auto" w:fill="FFFFFF"/>
            <w:tcMar>
              <w:top w:w="45" w:type="dxa"/>
              <w:left w:w="90" w:type="dxa"/>
              <w:bottom w:w="45" w:type="dxa"/>
              <w:right w:w="90" w:type="dxa"/>
            </w:tcMar>
          </w:tcPr>
          <w:p w14:paraId="4A0BF00C" w14:textId="77777777" w:rsidR="00222251" w:rsidRDefault="00000000">
            <w:pPr>
              <w:spacing w:after="0" w:line="259" w:lineRule="auto"/>
            </w:pPr>
            <w:r>
              <w:rPr>
                <w:rFonts w:ascii="Arial" w:hAnsi="Arial"/>
                <w:color w:val="334155"/>
                <w:sz w:val="16"/>
              </w:rPr>
              <w:t>[Target / Projected Field Outcome] via direct institutional linkage.</w:t>
            </w:r>
            <w:r>
              <w:rPr>
                <w:rFonts w:ascii="Arial" w:hAnsi="Arial"/>
                <w:color w:val="334155"/>
                <w:sz w:val="16"/>
              </w:rPr>
              <w:br/>
              <w:t>[Implemented Platform Capability] guaranteed through 4-stage smart escrow milestone locking.</w:t>
            </w:r>
          </w:p>
        </w:tc>
      </w:tr>
      <w:tr w:rsidR="00222251" w14:paraId="06322DF9" w14:textId="77777777">
        <w:trPr>
          <w:cantSplit/>
          <w:jc w:val="center"/>
        </w:trPr>
        <w:tc>
          <w:tcPr>
            <w:tcW w:w="2304" w:type="dxa"/>
            <w:shd w:val="clear" w:color="auto" w:fill="F8FAFC"/>
            <w:tcMar>
              <w:top w:w="45" w:type="dxa"/>
              <w:left w:w="90" w:type="dxa"/>
              <w:bottom w:w="45" w:type="dxa"/>
              <w:right w:w="90" w:type="dxa"/>
            </w:tcMar>
          </w:tcPr>
          <w:p w14:paraId="21B0DC26" w14:textId="77777777" w:rsidR="00222251" w:rsidRDefault="00000000">
            <w:pPr>
              <w:spacing w:after="0" w:line="259" w:lineRule="auto"/>
            </w:pPr>
            <w:r>
              <w:rPr>
                <w:rFonts w:ascii="Arial" w:hAnsi="Arial"/>
                <w:b/>
                <w:color w:val="1E293B"/>
                <w:sz w:val="16"/>
              </w:rPr>
              <w:t>Social &amp; Rural Impact</w:t>
            </w:r>
          </w:p>
        </w:tc>
        <w:tc>
          <w:tcPr>
            <w:tcW w:w="3600" w:type="dxa"/>
            <w:shd w:val="clear" w:color="auto" w:fill="F8FAFC"/>
            <w:tcMar>
              <w:top w:w="45" w:type="dxa"/>
              <w:left w:w="90" w:type="dxa"/>
              <w:bottom w:w="45" w:type="dxa"/>
              <w:right w:w="90" w:type="dxa"/>
            </w:tcMar>
          </w:tcPr>
          <w:p w14:paraId="18FA5195" w14:textId="77777777" w:rsidR="00222251" w:rsidRDefault="00000000">
            <w:pPr>
              <w:spacing w:after="0" w:line="259" w:lineRule="auto"/>
            </w:pPr>
            <w:r>
              <w:rPr>
                <w:rFonts w:ascii="Arial" w:hAnsi="Arial"/>
                <w:color w:val="334155"/>
                <w:sz w:val="16"/>
              </w:rPr>
              <w:t>• Elimination of Distress Selling Below MSP</w:t>
            </w:r>
            <w:r>
              <w:rPr>
                <w:rFonts w:ascii="Arial" w:hAnsi="Arial"/>
                <w:color w:val="334155"/>
                <w:sz w:val="16"/>
              </w:rPr>
              <w:br/>
              <w:t>• Formal Financial Inclusion via Digital Sales Ledgers</w:t>
            </w:r>
            <w:r>
              <w:rPr>
                <w:rFonts w:ascii="Arial" w:hAnsi="Arial"/>
                <w:color w:val="334155"/>
                <w:sz w:val="16"/>
              </w:rPr>
              <w:br/>
              <w:t>• Equitable Bargaining Power for FPOs</w:t>
            </w:r>
          </w:p>
        </w:tc>
        <w:tc>
          <w:tcPr>
            <w:tcW w:w="4320" w:type="dxa"/>
            <w:shd w:val="clear" w:color="auto" w:fill="F8FAFC"/>
            <w:tcMar>
              <w:top w:w="45" w:type="dxa"/>
              <w:left w:w="90" w:type="dxa"/>
              <w:bottom w:w="45" w:type="dxa"/>
              <w:right w:w="90" w:type="dxa"/>
            </w:tcMar>
          </w:tcPr>
          <w:p w14:paraId="5618884F" w14:textId="77777777" w:rsidR="00222251" w:rsidRDefault="00000000">
            <w:pPr>
              <w:spacing w:after="0" w:line="259" w:lineRule="auto"/>
            </w:pPr>
            <w:r>
              <w:rPr>
                <w:rFonts w:ascii="Arial" w:hAnsi="Arial"/>
                <w:color w:val="334155"/>
                <w:sz w:val="16"/>
              </w:rPr>
              <w:t>[Target / Projected Field Outcome] through modal parity alerts.</w:t>
            </w:r>
            <w:r>
              <w:rPr>
                <w:rFonts w:ascii="Arial" w:hAnsi="Arial"/>
                <w:color w:val="334155"/>
                <w:sz w:val="16"/>
              </w:rPr>
              <w:br/>
              <w:t>[Implemented Platform Capability] with tamper-evident digital contracts and printable QR lot audit trails.</w:t>
            </w:r>
          </w:p>
        </w:tc>
      </w:tr>
      <w:tr w:rsidR="00222251" w14:paraId="050A78E6" w14:textId="77777777">
        <w:trPr>
          <w:cantSplit/>
          <w:jc w:val="center"/>
        </w:trPr>
        <w:tc>
          <w:tcPr>
            <w:tcW w:w="2304" w:type="dxa"/>
            <w:shd w:val="clear" w:color="auto" w:fill="FFFFFF"/>
            <w:tcMar>
              <w:top w:w="45" w:type="dxa"/>
              <w:left w:w="90" w:type="dxa"/>
              <w:bottom w:w="45" w:type="dxa"/>
              <w:right w:w="90" w:type="dxa"/>
            </w:tcMar>
          </w:tcPr>
          <w:p w14:paraId="4E1A52D1" w14:textId="77777777" w:rsidR="00222251" w:rsidRDefault="00000000">
            <w:pPr>
              <w:spacing w:after="0" w:line="259" w:lineRule="auto"/>
            </w:pPr>
            <w:r>
              <w:rPr>
                <w:rFonts w:ascii="Arial" w:hAnsi="Arial"/>
                <w:b/>
                <w:color w:val="1E293B"/>
                <w:sz w:val="16"/>
              </w:rPr>
              <w:t>Agricultural &amp; Environmental</w:t>
            </w:r>
          </w:p>
        </w:tc>
        <w:tc>
          <w:tcPr>
            <w:tcW w:w="3600" w:type="dxa"/>
            <w:shd w:val="clear" w:color="auto" w:fill="FFFFFF"/>
            <w:tcMar>
              <w:top w:w="45" w:type="dxa"/>
              <w:left w:w="90" w:type="dxa"/>
              <w:bottom w:w="45" w:type="dxa"/>
              <w:right w:w="90" w:type="dxa"/>
            </w:tcMar>
          </w:tcPr>
          <w:p w14:paraId="62E7FFF4" w14:textId="77777777" w:rsidR="00222251" w:rsidRDefault="00000000">
            <w:pPr>
              <w:spacing w:after="0" w:line="259" w:lineRule="auto"/>
            </w:pPr>
            <w:r>
              <w:rPr>
                <w:rFonts w:ascii="Arial" w:hAnsi="Arial"/>
                <w:color w:val="334155"/>
                <w:sz w:val="16"/>
              </w:rPr>
              <w:t>• Reduced Post-Harvest Transit Spoilage</w:t>
            </w:r>
            <w:r>
              <w:rPr>
                <w:rFonts w:ascii="Arial" w:hAnsi="Arial"/>
                <w:color w:val="334155"/>
                <w:sz w:val="16"/>
              </w:rPr>
              <w:br/>
              <w:t>• Direct Farmgate-to-Processor Freight Routing</w:t>
            </w:r>
            <w:r>
              <w:rPr>
                <w:rFonts w:ascii="Arial" w:hAnsi="Arial"/>
                <w:color w:val="334155"/>
                <w:sz w:val="16"/>
              </w:rPr>
              <w:br/>
              <w:t>• Lower Logistics Carbon Footprint per Quintal</w:t>
            </w:r>
          </w:p>
        </w:tc>
        <w:tc>
          <w:tcPr>
            <w:tcW w:w="4320" w:type="dxa"/>
            <w:shd w:val="clear" w:color="auto" w:fill="FFFFFF"/>
            <w:tcMar>
              <w:top w:w="45" w:type="dxa"/>
              <w:left w:w="90" w:type="dxa"/>
              <w:bottom w:w="45" w:type="dxa"/>
              <w:right w:w="90" w:type="dxa"/>
            </w:tcMar>
          </w:tcPr>
          <w:p w14:paraId="79532049" w14:textId="77777777" w:rsidR="00222251" w:rsidRDefault="00000000">
            <w:pPr>
              <w:spacing w:after="0" w:line="259" w:lineRule="auto"/>
            </w:pPr>
            <w:r>
              <w:rPr>
                <w:rFonts w:ascii="Arial" w:hAnsi="Arial"/>
                <w:color w:val="334155"/>
                <w:sz w:val="16"/>
              </w:rPr>
              <w:t>[Target / Projected Field Outcome] by eliminating unnecessary multi-hop mandi haulage.</w:t>
            </w:r>
            <w:r>
              <w:rPr>
                <w:rFonts w:ascii="Arial" w:hAnsi="Arial"/>
                <w:color w:val="334155"/>
                <w:sz w:val="16"/>
              </w:rPr>
              <w:br/>
              <w:t>[Implemented Platform Capability] via Haversine GIS distance and freight optimizer.</w:t>
            </w:r>
          </w:p>
        </w:tc>
      </w:tr>
      <w:tr w:rsidR="00222251" w14:paraId="114FAD99" w14:textId="77777777">
        <w:trPr>
          <w:cantSplit/>
          <w:jc w:val="center"/>
        </w:trPr>
        <w:tc>
          <w:tcPr>
            <w:tcW w:w="2304" w:type="dxa"/>
            <w:shd w:val="clear" w:color="auto" w:fill="F8FAFC"/>
            <w:tcMar>
              <w:top w:w="45" w:type="dxa"/>
              <w:left w:w="90" w:type="dxa"/>
              <w:bottom w:w="45" w:type="dxa"/>
              <w:right w:w="90" w:type="dxa"/>
            </w:tcMar>
          </w:tcPr>
          <w:p w14:paraId="7DCCC413" w14:textId="77777777" w:rsidR="00222251" w:rsidRDefault="00000000">
            <w:pPr>
              <w:spacing w:after="0" w:line="259" w:lineRule="auto"/>
            </w:pPr>
            <w:r>
              <w:rPr>
                <w:rFonts w:ascii="Arial" w:hAnsi="Arial"/>
                <w:b/>
                <w:color w:val="1E293B"/>
                <w:sz w:val="16"/>
              </w:rPr>
              <w:t>Technological &amp; Governance</w:t>
            </w:r>
          </w:p>
        </w:tc>
        <w:tc>
          <w:tcPr>
            <w:tcW w:w="3600" w:type="dxa"/>
            <w:shd w:val="clear" w:color="auto" w:fill="F8FAFC"/>
            <w:tcMar>
              <w:top w:w="45" w:type="dxa"/>
              <w:left w:w="90" w:type="dxa"/>
              <w:bottom w:w="45" w:type="dxa"/>
              <w:right w:w="90" w:type="dxa"/>
            </w:tcMar>
          </w:tcPr>
          <w:p w14:paraId="338B19C5" w14:textId="77777777" w:rsidR="00222251" w:rsidRDefault="00000000">
            <w:pPr>
              <w:spacing w:after="0" w:line="259" w:lineRule="auto"/>
            </w:pPr>
            <w:r>
              <w:rPr>
                <w:rFonts w:ascii="Arial" w:hAnsi="Arial"/>
                <w:color w:val="334155"/>
                <w:sz w:val="16"/>
              </w:rPr>
              <w:t>• 100% Real-Time Visibility Across 585+ APMCs</w:t>
            </w:r>
            <w:r>
              <w:rPr>
                <w:rFonts w:ascii="Arial" w:hAnsi="Arial"/>
                <w:color w:val="334155"/>
                <w:sz w:val="16"/>
              </w:rPr>
              <w:br/>
              <w:t>• Automated 1.05% Statutory Mandi Cess Tracking</w:t>
            </w:r>
            <w:r>
              <w:rPr>
                <w:rFonts w:ascii="Arial" w:hAnsi="Arial"/>
                <w:color w:val="334155"/>
                <w:sz w:val="16"/>
              </w:rPr>
              <w:br/>
              <w:t>• Fully Traceable Statutory Dispute Redressal</w:t>
            </w:r>
          </w:p>
        </w:tc>
        <w:tc>
          <w:tcPr>
            <w:tcW w:w="4320" w:type="dxa"/>
            <w:shd w:val="clear" w:color="auto" w:fill="F8FAFC"/>
            <w:tcMar>
              <w:top w:w="45" w:type="dxa"/>
              <w:left w:w="90" w:type="dxa"/>
              <w:bottom w:w="45" w:type="dxa"/>
              <w:right w:w="90" w:type="dxa"/>
            </w:tcMar>
          </w:tcPr>
          <w:p w14:paraId="7A68609F" w14:textId="77777777" w:rsidR="00222251" w:rsidRDefault="00000000">
            <w:pPr>
              <w:spacing w:after="0" w:line="259" w:lineRule="auto"/>
            </w:pPr>
            <w:r>
              <w:rPr>
                <w:rFonts w:ascii="Arial" w:hAnsi="Arial"/>
                <w:color w:val="334155"/>
                <w:sz w:val="16"/>
              </w:rPr>
              <w:t>[Implemented Platform Capability] live WebSocket telemetry.</w:t>
            </w:r>
            <w:r>
              <w:rPr>
                <w:rFonts w:ascii="Arial" w:hAnsi="Arial"/>
                <w:color w:val="334155"/>
                <w:sz w:val="16"/>
              </w:rPr>
              <w:br/>
              <w:t>[Implemented Platform Capability] auto-deducted statutory compliance under the Maharashtra APMC Act, 1963.</w:t>
            </w:r>
          </w:p>
        </w:tc>
      </w:tr>
    </w:tbl>
    <w:p w14:paraId="38C3878C" w14:textId="77777777" w:rsidR="00222251" w:rsidRDefault="00000000">
      <w:pPr>
        <w:keepNext/>
        <w:spacing w:before="140" w:after="40"/>
      </w:pPr>
      <w:r>
        <w:rPr>
          <w:rFonts w:ascii="Arial" w:hAnsi="Arial"/>
          <w:b/>
          <w:color w:val="1B365D"/>
        </w:rPr>
        <w:t>6. Research and References</w:t>
      </w:r>
    </w:p>
    <w:p w14:paraId="4033CBD8" w14:textId="77777777" w:rsidR="00222251" w:rsidRDefault="00000000">
      <w:pPr>
        <w:spacing w:after="40" w:line="264" w:lineRule="auto"/>
      </w:pPr>
      <w:r>
        <w:rPr>
          <w:rFonts w:ascii="Arial" w:hAnsi="Arial"/>
          <w:color w:val="334155"/>
          <w:sz w:val="17"/>
        </w:rPr>
        <w:t>AgroConnect's data ingestion pipelines, economic benchmarks, and regulatory logic are anchored directly in official Government of India and Government of Maharashtra institutional systems: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016"/>
        <w:gridCol w:w="3456"/>
        <w:gridCol w:w="4752"/>
      </w:tblGrid>
      <w:tr w:rsidR="00222251" w14:paraId="2510040D" w14:textId="77777777">
        <w:trPr>
          <w:cantSplit/>
          <w:jc w:val="center"/>
        </w:trPr>
        <w:tc>
          <w:tcPr>
            <w:tcW w:w="2016" w:type="dxa"/>
            <w:shd w:val="clear" w:color="auto" w:fill="1B365D"/>
            <w:tcMar>
              <w:top w:w="50" w:type="dxa"/>
              <w:left w:w="90" w:type="dxa"/>
              <w:bottom w:w="50" w:type="dxa"/>
              <w:right w:w="90" w:type="dxa"/>
            </w:tcMar>
          </w:tcPr>
          <w:p w14:paraId="1E1FE9F9" w14:textId="77777777" w:rsidR="00222251" w:rsidRDefault="00000000">
            <w:pPr>
              <w:spacing w:after="0"/>
            </w:pPr>
            <w:r>
              <w:rPr>
                <w:rFonts w:ascii="Arial" w:hAnsi="Arial"/>
                <w:b/>
                <w:color w:val="FFFFFF"/>
                <w:sz w:val="16"/>
              </w:rPr>
              <w:t>Data Source / Body</w:t>
            </w:r>
          </w:p>
        </w:tc>
        <w:tc>
          <w:tcPr>
            <w:tcW w:w="3456" w:type="dxa"/>
            <w:shd w:val="clear" w:color="auto" w:fill="1B365D"/>
            <w:tcMar>
              <w:top w:w="50" w:type="dxa"/>
              <w:left w:w="90" w:type="dxa"/>
              <w:bottom w:w="50" w:type="dxa"/>
              <w:right w:w="90" w:type="dxa"/>
            </w:tcMar>
          </w:tcPr>
          <w:p w14:paraId="495FBA64" w14:textId="77777777" w:rsidR="00222251" w:rsidRDefault="00000000">
            <w:pPr>
              <w:spacing w:after="0"/>
            </w:pPr>
            <w:r>
              <w:rPr>
                <w:rFonts w:ascii="Arial" w:hAnsi="Arial"/>
                <w:b/>
                <w:color w:val="FFFFFF"/>
                <w:sz w:val="16"/>
              </w:rPr>
              <w:t>Official Portal URL</w:t>
            </w:r>
          </w:p>
        </w:tc>
        <w:tc>
          <w:tcPr>
            <w:tcW w:w="4752" w:type="dxa"/>
            <w:shd w:val="clear" w:color="auto" w:fill="1B365D"/>
            <w:tcMar>
              <w:top w:w="50" w:type="dxa"/>
              <w:left w:w="90" w:type="dxa"/>
              <w:bottom w:w="50" w:type="dxa"/>
              <w:right w:w="90" w:type="dxa"/>
            </w:tcMar>
          </w:tcPr>
          <w:p w14:paraId="787E6C5C" w14:textId="77777777" w:rsidR="00222251" w:rsidRDefault="00000000">
            <w:pPr>
              <w:spacing w:after="0"/>
            </w:pPr>
            <w:r>
              <w:rPr>
                <w:rFonts w:ascii="Arial" w:hAnsi="Arial"/>
                <w:b/>
                <w:color w:val="FFFFFF"/>
                <w:sz w:val="16"/>
              </w:rPr>
              <w:t>Platform Function &amp; Operational Role</w:t>
            </w:r>
          </w:p>
        </w:tc>
      </w:tr>
      <w:tr w:rsidR="00222251" w14:paraId="5418FBB8" w14:textId="77777777">
        <w:trPr>
          <w:cantSplit/>
          <w:jc w:val="center"/>
        </w:trPr>
        <w:tc>
          <w:tcPr>
            <w:tcW w:w="2016" w:type="dxa"/>
            <w:shd w:val="clear" w:color="auto" w:fill="FFFFFF"/>
            <w:tcMar>
              <w:top w:w="45" w:type="dxa"/>
              <w:left w:w="90" w:type="dxa"/>
              <w:bottom w:w="45" w:type="dxa"/>
              <w:right w:w="90" w:type="dxa"/>
            </w:tcMar>
          </w:tcPr>
          <w:p w14:paraId="72783FA9" w14:textId="77777777" w:rsidR="00222251" w:rsidRDefault="00000000">
            <w:pPr>
              <w:spacing w:after="0" w:line="259" w:lineRule="auto"/>
            </w:pPr>
            <w:r>
              <w:rPr>
                <w:rFonts w:ascii="Arial" w:hAnsi="Arial"/>
                <w:b/>
                <w:color w:val="1E293B"/>
                <w:sz w:val="16"/>
              </w:rPr>
              <w:t>Agmarknet</w:t>
            </w:r>
            <w:r>
              <w:rPr>
                <w:rFonts w:ascii="Arial" w:hAnsi="Arial"/>
                <w:color w:val="334155"/>
                <w:sz w:val="16"/>
              </w:rPr>
              <w:t xml:space="preserve"> (DMI, MoA&amp;FW)</w:t>
            </w:r>
          </w:p>
        </w:tc>
        <w:tc>
          <w:tcPr>
            <w:tcW w:w="3456" w:type="dxa"/>
            <w:shd w:val="clear" w:color="auto" w:fill="FFFFFF"/>
            <w:tcMar>
              <w:top w:w="45" w:type="dxa"/>
              <w:left w:w="90" w:type="dxa"/>
              <w:bottom w:w="45" w:type="dxa"/>
              <w:right w:w="90" w:type="dxa"/>
            </w:tcMar>
          </w:tcPr>
          <w:p w14:paraId="0A2F278A" w14:textId="77777777" w:rsidR="00222251" w:rsidRDefault="00000000">
            <w:pPr>
              <w:spacing w:after="0" w:line="259" w:lineRule="auto"/>
            </w:pPr>
            <w:r>
              <w:rPr>
                <w:rFonts w:ascii="Arial" w:hAnsi="Arial"/>
                <w:color w:val="334155"/>
                <w:sz w:val="16"/>
              </w:rPr>
              <w:t>https://agmarknet.gov.in</w:t>
            </w:r>
          </w:p>
        </w:tc>
        <w:tc>
          <w:tcPr>
            <w:tcW w:w="4752" w:type="dxa"/>
            <w:shd w:val="clear" w:color="auto" w:fill="FFFFFF"/>
            <w:tcMar>
              <w:top w:w="45" w:type="dxa"/>
              <w:left w:w="90" w:type="dxa"/>
              <w:bottom w:w="45" w:type="dxa"/>
              <w:right w:w="90" w:type="dxa"/>
            </w:tcMar>
          </w:tcPr>
          <w:p w14:paraId="4E0C9766" w14:textId="77777777" w:rsidR="00222251" w:rsidRDefault="00000000">
            <w:pPr>
              <w:spacing w:after="0" w:line="259" w:lineRule="auto"/>
            </w:pPr>
            <w:r>
              <w:rPr>
                <w:rFonts w:ascii="Arial" w:hAnsi="Arial"/>
                <w:color w:val="334155"/>
                <w:sz w:val="16"/>
              </w:rPr>
              <w:t>Live daily arrivals, modal, minimum, and maximum wholesale commodity prices across regulated agricultural markets; feeds the real-time telemetry engine.</w:t>
            </w:r>
          </w:p>
        </w:tc>
      </w:tr>
      <w:tr w:rsidR="00222251" w14:paraId="3DCA53F4" w14:textId="77777777">
        <w:trPr>
          <w:cantSplit/>
          <w:jc w:val="center"/>
        </w:trPr>
        <w:tc>
          <w:tcPr>
            <w:tcW w:w="2016" w:type="dxa"/>
            <w:shd w:val="clear" w:color="auto" w:fill="F8FAFC"/>
            <w:tcMar>
              <w:top w:w="45" w:type="dxa"/>
              <w:left w:w="90" w:type="dxa"/>
              <w:bottom w:w="45" w:type="dxa"/>
              <w:right w:w="90" w:type="dxa"/>
            </w:tcMar>
          </w:tcPr>
          <w:p w14:paraId="5D7DAF9D" w14:textId="77777777" w:rsidR="00222251" w:rsidRDefault="00000000">
            <w:pPr>
              <w:spacing w:after="0" w:line="259" w:lineRule="auto"/>
            </w:pPr>
            <w:r>
              <w:rPr>
                <w:rFonts w:ascii="Arial" w:hAnsi="Arial"/>
                <w:b/>
                <w:color w:val="1E293B"/>
                <w:sz w:val="16"/>
              </w:rPr>
              <w:t>CACP</w:t>
            </w:r>
            <w:r>
              <w:rPr>
                <w:rFonts w:ascii="Arial" w:hAnsi="Arial"/>
                <w:color w:val="334155"/>
                <w:sz w:val="16"/>
              </w:rPr>
              <w:t xml:space="preserve"> (MoA&amp;FW)</w:t>
            </w:r>
          </w:p>
        </w:tc>
        <w:tc>
          <w:tcPr>
            <w:tcW w:w="3456" w:type="dxa"/>
            <w:shd w:val="clear" w:color="auto" w:fill="F8FAFC"/>
            <w:tcMar>
              <w:top w:w="45" w:type="dxa"/>
              <w:left w:w="90" w:type="dxa"/>
              <w:bottom w:w="45" w:type="dxa"/>
              <w:right w:w="90" w:type="dxa"/>
            </w:tcMar>
          </w:tcPr>
          <w:p w14:paraId="39C6F7D9" w14:textId="77777777" w:rsidR="00222251" w:rsidRDefault="00000000">
            <w:pPr>
              <w:spacing w:after="0" w:line="259" w:lineRule="auto"/>
            </w:pPr>
            <w:r>
              <w:rPr>
                <w:rFonts w:ascii="Arial" w:hAnsi="Arial"/>
                <w:color w:val="334155"/>
                <w:sz w:val="16"/>
              </w:rPr>
              <w:t>https://cacp.dacnet.nic.in</w:t>
            </w:r>
          </w:p>
        </w:tc>
        <w:tc>
          <w:tcPr>
            <w:tcW w:w="4752" w:type="dxa"/>
            <w:shd w:val="clear" w:color="auto" w:fill="F8FAFC"/>
            <w:tcMar>
              <w:top w:w="45" w:type="dxa"/>
              <w:left w:w="90" w:type="dxa"/>
              <w:bottom w:w="45" w:type="dxa"/>
              <w:right w:w="90" w:type="dxa"/>
            </w:tcMar>
          </w:tcPr>
          <w:p w14:paraId="211F0332" w14:textId="77777777" w:rsidR="00222251" w:rsidRDefault="00000000">
            <w:pPr>
              <w:spacing w:after="0" w:line="259" w:lineRule="auto"/>
            </w:pPr>
            <w:r>
              <w:rPr>
                <w:rFonts w:ascii="Arial" w:hAnsi="Arial"/>
                <w:color w:val="334155"/>
                <w:sz w:val="16"/>
              </w:rPr>
              <w:t>Official Minimum Support Price (MSP) benchmarks and crop cost of cultivation metrics (A2, A2+FL, C2) used for modal parity distress sell prevention.</w:t>
            </w:r>
          </w:p>
        </w:tc>
      </w:tr>
      <w:tr w:rsidR="00222251" w14:paraId="2512A14F" w14:textId="77777777">
        <w:trPr>
          <w:cantSplit/>
          <w:jc w:val="center"/>
        </w:trPr>
        <w:tc>
          <w:tcPr>
            <w:tcW w:w="2016" w:type="dxa"/>
            <w:shd w:val="clear" w:color="auto" w:fill="FFFFFF"/>
            <w:tcMar>
              <w:top w:w="45" w:type="dxa"/>
              <w:left w:w="90" w:type="dxa"/>
              <w:bottom w:w="45" w:type="dxa"/>
              <w:right w:w="90" w:type="dxa"/>
            </w:tcMar>
          </w:tcPr>
          <w:p w14:paraId="160399BA" w14:textId="77777777" w:rsidR="00222251" w:rsidRDefault="00000000">
            <w:pPr>
              <w:spacing w:after="0" w:line="259" w:lineRule="auto"/>
            </w:pPr>
            <w:r>
              <w:rPr>
                <w:rFonts w:ascii="Arial" w:hAnsi="Arial"/>
                <w:b/>
                <w:color w:val="1E293B"/>
                <w:sz w:val="16"/>
              </w:rPr>
              <w:t>eNAM</w:t>
            </w:r>
            <w:r>
              <w:rPr>
                <w:rFonts w:ascii="Arial" w:hAnsi="Arial"/>
                <w:color w:val="334155"/>
                <w:sz w:val="16"/>
              </w:rPr>
              <w:t xml:space="preserve"> (MoA&amp;FW / SFAC)</w:t>
            </w:r>
          </w:p>
        </w:tc>
        <w:tc>
          <w:tcPr>
            <w:tcW w:w="3456" w:type="dxa"/>
            <w:shd w:val="clear" w:color="auto" w:fill="FFFFFF"/>
            <w:tcMar>
              <w:top w:w="45" w:type="dxa"/>
              <w:left w:w="90" w:type="dxa"/>
              <w:bottom w:w="45" w:type="dxa"/>
              <w:right w:w="90" w:type="dxa"/>
            </w:tcMar>
          </w:tcPr>
          <w:p w14:paraId="232D1F22" w14:textId="77777777" w:rsidR="00222251" w:rsidRDefault="00000000">
            <w:pPr>
              <w:spacing w:after="0" w:line="259" w:lineRule="auto"/>
            </w:pPr>
            <w:r>
              <w:rPr>
                <w:rFonts w:ascii="Arial" w:hAnsi="Arial"/>
                <w:color w:val="334155"/>
                <w:sz w:val="16"/>
              </w:rPr>
              <w:t>https://enam.gov.in</w:t>
            </w:r>
          </w:p>
        </w:tc>
        <w:tc>
          <w:tcPr>
            <w:tcW w:w="4752" w:type="dxa"/>
            <w:shd w:val="clear" w:color="auto" w:fill="FFFFFF"/>
            <w:tcMar>
              <w:top w:w="45" w:type="dxa"/>
              <w:left w:w="90" w:type="dxa"/>
              <w:bottom w:w="45" w:type="dxa"/>
              <w:right w:w="90" w:type="dxa"/>
            </w:tcMar>
          </w:tcPr>
          <w:p w14:paraId="1510156D" w14:textId="77777777" w:rsidR="00222251" w:rsidRDefault="00000000">
            <w:pPr>
              <w:spacing w:after="0" w:line="259" w:lineRule="auto"/>
            </w:pPr>
            <w:r>
              <w:rPr>
                <w:rFonts w:ascii="Arial" w:hAnsi="Arial"/>
                <w:color w:val="334155"/>
                <w:sz w:val="16"/>
              </w:rPr>
              <w:t>National agricultural market trade benchmarks, unified national commodity classifications, and inter-state trade corridor references.</w:t>
            </w:r>
          </w:p>
        </w:tc>
      </w:tr>
      <w:tr w:rsidR="00222251" w14:paraId="735C5F09" w14:textId="77777777">
        <w:trPr>
          <w:cantSplit/>
          <w:jc w:val="center"/>
        </w:trPr>
        <w:tc>
          <w:tcPr>
            <w:tcW w:w="2016" w:type="dxa"/>
            <w:shd w:val="clear" w:color="auto" w:fill="F8FAFC"/>
            <w:tcMar>
              <w:top w:w="45" w:type="dxa"/>
              <w:left w:w="90" w:type="dxa"/>
              <w:bottom w:w="45" w:type="dxa"/>
              <w:right w:w="90" w:type="dxa"/>
            </w:tcMar>
          </w:tcPr>
          <w:p w14:paraId="56C31BB4" w14:textId="77777777" w:rsidR="00222251" w:rsidRDefault="00000000">
            <w:pPr>
              <w:spacing w:after="0" w:line="259" w:lineRule="auto"/>
            </w:pPr>
            <w:r>
              <w:rPr>
                <w:rFonts w:ascii="Arial" w:hAnsi="Arial"/>
                <w:b/>
                <w:color w:val="1E293B"/>
                <w:sz w:val="16"/>
              </w:rPr>
              <w:t>MSAMB</w:t>
            </w:r>
            <w:r>
              <w:rPr>
                <w:rFonts w:ascii="Arial" w:hAnsi="Arial"/>
                <w:color w:val="334155"/>
                <w:sz w:val="16"/>
              </w:rPr>
              <w:t xml:space="preserve"> (Govt of Maharashtra)</w:t>
            </w:r>
          </w:p>
        </w:tc>
        <w:tc>
          <w:tcPr>
            <w:tcW w:w="3456" w:type="dxa"/>
            <w:shd w:val="clear" w:color="auto" w:fill="F8FAFC"/>
            <w:tcMar>
              <w:top w:w="45" w:type="dxa"/>
              <w:left w:w="90" w:type="dxa"/>
              <w:bottom w:w="45" w:type="dxa"/>
              <w:right w:w="90" w:type="dxa"/>
            </w:tcMar>
          </w:tcPr>
          <w:p w14:paraId="160AB796" w14:textId="77777777" w:rsidR="00222251" w:rsidRDefault="00000000">
            <w:pPr>
              <w:spacing w:after="0" w:line="259" w:lineRule="auto"/>
            </w:pPr>
            <w:r>
              <w:rPr>
                <w:rFonts w:ascii="Arial" w:hAnsi="Arial"/>
                <w:color w:val="334155"/>
                <w:sz w:val="16"/>
              </w:rPr>
              <w:t>https://www.msamb.com</w:t>
            </w:r>
          </w:p>
        </w:tc>
        <w:tc>
          <w:tcPr>
            <w:tcW w:w="4752" w:type="dxa"/>
            <w:shd w:val="clear" w:color="auto" w:fill="F8FAFC"/>
            <w:tcMar>
              <w:top w:w="45" w:type="dxa"/>
              <w:left w:w="90" w:type="dxa"/>
              <w:bottom w:w="45" w:type="dxa"/>
              <w:right w:w="90" w:type="dxa"/>
            </w:tcMar>
          </w:tcPr>
          <w:p w14:paraId="3431BE40" w14:textId="77777777" w:rsidR="00222251" w:rsidRDefault="00000000">
            <w:pPr>
              <w:spacing w:after="0" w:line="259" w:lineRule="auto"/>
            </w:pPr>
            <w:r>
              <w:rPr>
                <w:rFonts w:ascii="Arial" w:hAnsi="Arial"/>
                <w:color w:val="334155"/>
                <w:sz w:val="16"/>
              </w:rPr>
              <w:t>Telemetry covering 585+ Maharashtra APMCs, 1.05% market cess regulatory schedules, export guidelines, and state warehouse infrastructure.</w:t>
            </w:r>
          </w:p>
        </w:tc>
      </w:tr>
      <w:tr w:rsidR="00222251" w14:paraId="37B425EB" w14:textId="77777777">
        <w:trPr>
          <w:cantSplit/>
          <w:jc w:val="center"/>
        </w:trPr>
        <w:tc>
          <w:tcPr>
            <w:tcW w:w="2016" w:type="dxa"/>
            <w:shd w:val="clear" w:color="auto" w:fill="FFFFFF"/>
            <w:tcMar>
              <w:top w:w="45" w:type="dxa"/>
              <w:left w:w="90" w:type="dxa"/>
              <w:bottom w:w="45" w:type="dxa"/>
              <w:right w:w="90" w:type="dxa"/>
            </w:tcMar>
          </w:tcPr>
          <w:p w14:paraId="39B6C88B" w14:textId="77777777" w:rsidR="00222251" w:rsidRDefault="00000000">
            <w:pPr>
              <w:spacing w:after="0" w:line="259" w:lineRule="auto"/>
            </w:pPr>
            <w:r>
              <w:rPr>
                <w:rFonts w:ascii="Arial" w:hAnsi="Arial"/>
                <w:b/>
                <w:color w:val="1E293B"/>
                <w:sz w:val="16"/>
              </w:rPr>
              <w:t>IMD Agromet</w:t>
            </w:r>
            <w:r>
              <w:rPr>
                <w:rFonts w:ascii="Arial" w:hAnsi="Arial"/>
                <w:color w:val="334155"/>
                <w:sz w:val="16"/>
              </w:rPr>
              <w:t xml:space="preserve"> (MoES)</w:t>
            </w:r>
          </w:p>
        </w:tc>
        <w:tc>
          <w:tcPr>
            <w:tcW w:w="3456" w:type="dxa"/>
            <w:shd w:val="clear" w:color="auto" w:fill="FFFFFF"/>
            <w:tcMar>
              <w:top w:w="45" w:type="dxa"/>
              <w:left w:w="90" w:type="dxa"/>
              <w:bottom w:w="45" w:type="dxa"/>
              <w:right w:w="90" w:type="dxa"/>
            </w:tcMar>
          </w:tcPr>
          <w:p w14:paraId="3438421B" w14:textId="77777777" w:rsidR="00222251" w:rsidRDefault="00000000">
            <w:pPr>
              <w:spacing w:after="0" w:line="259" w:lineRule="auto"/>
            </w:pPr>
            <w:r>
              <w:rPr>
                <w:rFonts w:ascii="Arial" w:hAnsi="Arial"/>
                <w:color w:val="334155"/>
                <w:sz w:val="16"/>
              </w:rPr>
              <w:t>https://imdagrimet.gov.in</w:t>
            </w:r>
            <w:r>
              <w:rPr>
                <w:rFonts w:ascii="Arial" w:hAnsi="Arial"/>
                <w:color w:val="334155"/>
                <w:sz w:val="16"/>
              </w:rPr>
              <w:br/>
              <w:t>(https://mausam.imd.gov.in)</w:t>
            </w:r>
          </w:p>
        </w:tc>
        <w:tc>
          <w:tcPr>
            <w:tcW w:w="4752" w:type="dxa"/>
            <w:shd w:val="clear" w:color="auto" w:fill="FFFFFF"/>
            <w:tcMar>
              <w:top w:w="45" w:type="dxa"/>
              <w:left w:w="90" w:type="dxa"/>
              <w:bottom w:w="45" w:type="dxa"/>
              <w:right w:w="90" w:type="dxa"/>
            </w:tcMar>
          </w:tcPr>
          <w:p w14:paraId="6D4CD5D4" w14:textId="77777777" w:rsidR="00222251" w:rsidRDefault="00000000">
            <w:pPr>
              <w:spacing w:after="0" w:line="259" w:lineRule="auto"/>
            </w:pPr>
            <w:r>
              <w:rPr>
                <w:rFonts w:ascii="Arial" w:hAnsi="Arial"/>
                <w:color w:val="334155"/>
                <w:sz w:val="16"/>
              </w:rPr>
              <w:t>Localized agrometeorological advisories, rainfall schedules, and temperature anomalies used to forecast supply disruptions and transit risk.</w:t>
            </w:r>
          </w:p>
        </w:tc>
      </w:tr>
      <w:tr w:rsidR="00222251" w14:paraId="2190FD38" w14:textId="77777777">
        <w:trPr>
          <w:cantSplit/>
          <w:jc w:val="center"/>
        </w:trPr>
        <w:tc>
          <w:tcPr>
            <w:tcW w:w="2016" w:type="dxa"/>
            <w:shd w:val="clear" w:color="auto" w:fill="F8FAFC"/>
            <w:tcMar>
              <w:top w:w="45" w:type="dxa"/>
              <w:left w:w="90" w:type="dxa"/>
              <w:bottom w:w="45" w:type="dxa"/>
              <w:right w:w="90" w:type="dxa"/>
            </w:tcMar>
          </w:tcPr>
          <w:p w14:paraId="151F849C" w14:textId="77777777" w:rsidR="00222251" w:rsidRDefault="00000000">
            <w:pPr>
              <w:spacing w:after="0" w:line="259" w:lineRule="auto"/>
            </w:pPr>
            <w:r>
              <w:rPr>
                <w:rFonts w:ascii="Arial" w:hAnsi="Arial"/>
                <w:b/>
                <w:color w:val="1E293B"/>
                <w:sz w:val="16"/>
              </w:rPr>
              <w:t>DGFT</w:t>
            </w:r>
            <w:r>
              <w:rPr>
                <w:rFonts w:ascii="Arial" w:hAnsi="Arial"/>
                <w:color w:val="334155"/>
                <w:sz w:val="16"/>
              </w:rPr>
              <w:t xml:space="preserve"> (Ministry of Commerce)</w:t>
            </w:r>
          </w:p>
        </w:tc>
        <w:tc>
          <w:tcPr>
            <w:tcW w:w="3456" w:type="dxa"/>
            <w:shd w:val="clear" w:color="auto" w:fill="F8FAFC"/>
            <w:tcMar>
              <w:top w:w="45" w:type="dxa"/>
              <w:left w:w="90" w:type="dxa"/>
              <w:bottom w:w="45" w:type="dxa"/>
              <w:right w:w="90" w:type="dxa"/>
            </w:tcMar>
          </w:tcPr>
          <w:p w14:paraId="752F1F26" w14:textId="77777777" w:rsidR="00222251" w:rsidRDefault="00000000">
            <w:pPr>
              <w:spacing w:after="0" w:line="259" w:lineRule="auto"/>
            </w:pPr>
            <w:r>
              <w:rPr>
                <w:rFonts w:ascii="Arial" w:hAnsi="Arial"/>
                <w:color w:val="334155"/>
                <w:sz w:val="16"/>
              </w:rPr>
              <w:t>https://dgft.gov.in</w:t>
            </w:r>
          </w:p>
        </w:tc>
        <w:tc>
          <w:tcPr>
            <w:tcW w:w="4752" w:type="dxa"/>
            <w:shd w:val="clear" w:color="auto" w:fill="F8FAFC"/>
            <w:tcMar>
              <w:top w:w="45" w:type="dxa"/>
              <w:left w:w="90" w:type="dxa"/>
              <w:bottom w:w="45" w:type="dxa"/>
              <w:right w:w="90" w:type="dxa"/>
            </w:tcMar>
          </w:tcPr>
          <w:p w14:paraId="2BCAE3C6" w14:textId="77777777" w:rsidR="00222251" w:rsidRDefault="00000000">
            <w:pPr>
              <w:spacing w:after="0" w:line="259" w:lineRule="auto"/>
            </w:pPr>
            <w:r>
              <w:rPr>
                <w:rFonts w:ascii="Arial" w:hAnsi="Arial"/>
                <w:color w:val="334155"/>
                <w:sz w:val="16"/>
              </w:rPr>
              <w:t>Export-import trade tariffs, quota notifications, and Minimum Export Price (MEP) benchmarks that influence domestic market price trends.</w:t>
            </w:r>
          </w:p>
        </w:tc>
      </w:tr>
      <w:tr w:rsidR="00222251" w14:paraId="784AFABE" w14:textId="77777777">
        <w:trPr>
          <w:cantSplit/>
          <w:jc w:val="center"/>
        </w:trPr>
        <w:tc>
          <w:tcPr>
            <w:tcW w:w="2016" w:type="dxa"/>
            <w:shd w:val="clear" w:color="auto" w:fill="FFFFFF"/>
            <w:tcMar>
              <w:top w:w="45" w:type="dxa"/>
              <w:left w:w="90" w:type="dxa"/>
              <w:bottom w:w="45" w:type="dxa"/>
              <w:right w:w="90" w:type="dxa"/>
            </w:tcMar>
          </w:tcPr>
          <w:p w14:paraId="524F2276" w14:textId="77777777" w:rsidR="00222251" w:rsidRDefault="00000000">
            <w:pPr>
              <w:spacing w:after="0" w:line="259" w:lineRule="auto"/>
            </w:pPr>
            <w:r>
              <w:rPr>
                <w:rFonts w:ascii="Arial" w:hAnsi="Arial"/>
                <w:b/>
                <w:color w:val="1E293B"/>
                <w:sz w:val="16"/>
              </w:rPr>
              <w:t>WDRA</w:t>
            </w:r>
            <w:r>
              <w:rPr>
                <w:rFonts w:ascii="Arial" w:hAnsi="Arial"/>
                <w:color w:val="334155"/>
                <w:sz w:val="16"/>
              </w:rPr>
              <w:t xml:space="preserve"> (Dept of Food &amp; Public Dist)</w:t>
            </w:r>
          </w:p>
        </w:tc>
        <w:tc>
          <w:tcPr>
            <w:tcW w:w="3456" w:type="dxa"/>
            <w:shd w:val="clear" w:color="auto" w:fill="FFFFFF"/>
            <w:tcMar>
              <w:top w:w="45" w:type="dxa"/>
              <w:left w:w="90" w:type="dxa"/>
              <w:bottom w:w="45" w:type="dxa"/>
              <w:right w:w="90" w:type="dxa"/>
            </w:tcMar>
          </w:tcPr>
          <w:p w14:paraId="40E9EFE5" w14:textId="77777777" w:rsidR="00222251" w:rsidRDefault="00000000">
            <w:pPr>
              <w:spacing w:after="0" w:line="259" w:lineRule="auto"/>
            </w:pPr>
            <w:r>
              <w:rPr>
                <w:rFonts w:ascii="Arial" w:hAnsi="Arial"/>
                <w:color w:val="334155"/>
                <w:sz w:val="16"/>
              </w:rPr>
              <w:t>https://wdra.gov.in</w:t>
            </w:r>
          </w:p>
        </w:tc>
        <w:tc>
          <w:tcPr>
            <w:tcW w:w="4752" w:type="dxa"/>
            <w:shd w:val="clear" w:color="auto" w:fill="FFFFFF"/>
            <w:tcMar>
              <w:top w:w="45" w:type="dxa"/>
              <w:left w:w="90" w:type="dxa"/>
              <w:bottom w:w="45" w:type="dxa"/>
              <w:right w:w="90" w:type="dxa"/>
            </w:tcMar>
          </w:tcPr>
          <w:p w14:paraId="69A4F4AA" w14:textId="77777777" w:rsidR="00222251" w:rsidRDefault="00000000">
            <w:pPr>
              <w:spacing w:after="0" w:line="259" w:lineRule="auto"/>
            </w:pPr>
            <w:r>
              <w:rPr>
                <w:rFonts w:ascii="Arial" w:hAnsi="Arial"/>
                <w:color w:val="334155"/>
                <w:sz w:val="16"/>
              </w:rPr>
              <w:t>Accredited warehouse registry standards and Electronic Negotiable Warehouse Receipt (e-NWR) norms to support safe post-harvest holding.</w:t>
            </w:r>
          </w:p>
        </w:tc>
      </w:tr>
    </w:tbl>
    <w:p w14:paraId="6F8234D2" w14:textId="77777777" w:rsidR="00222251" w:rsidRDefault="00000000">
      <w:pPr>
        <w:keepNext/>
        <w:spacing w:before="90" w:after="30"/>
      </w:pPr>
      <w:r>
        <w:rPr>
          <w:rFonts w:ascii="Arial" w:hAnsi="Arial"/>
          <w:b/>
          <w:color w:val="2B6CB0"/>
          <w:sz w:val="19"/>
        </w:rPr>
        <w:t>Statutory &amp; Legal Framework Citation</w:t>
      </w:r>
    </w:p>
    <w:p w14:paraId="71314868" w14:textId="77777777" w:rsidR="00222251" w:rsidRDefault="00000000">
      <w:pPr>
        <w:spacing w:after="30" w:line="259" w:lineRule="auto"/>
        <w:ind w:left="230"/>
      </w:pPr>
      <w:r>
        <w:rPr>
          <w:rFonts w:ascii="Arial" w:hAnsi="Arial"/>
          <w:b/>
          <w:color w:val="2B6CB0"/>
          <w:sz w:val="17"/>
        </w:rPr>
        <w:t xml:space="preserve">•  </w:t>
      </w:r>
      <w:r>
        <w:rPr>
          <w:rFonts w:ascii="Arial" w:hAnsi="Arial"/>
          <w:b/>
          <w:color w:val="1E293B"/>
          <w:sz w:val="17"/>
        </w:rPr>
        <w:t xml:space="preserve">Primary Regulatory Foundation: </w:t>
      </w:r>
      <w:r>
        <w:rPr>
          <w:rFonts w:ascii="Arial" w:hAnsi="Arial"/>
          <w:color w:val="334155"/>
          <w:sz w:val="17"/>
        </w:rPr>
        <w:t>All digital purchase agreements, bilateral counter-offers, and dispute arbitrations within AgroConnect strictly adhere to the Maharashtra Agricultural Produce Marketing (Regulation) Act, 1963 (alongside state market reforms including Maharashtra Act No. VII of 2017). This guarantees legal enforceability of digital contracts, formalizes APMC market committee arbitration authority, and ensures statutory compliance for the 1.05% mandi market cess.</w:t>
      </w:r>
    </w:p>
    <w:p w14:paraId="0AB3C22F" w14:textId="2CAECC01" w:rsidR="00222251" w:rsidRDefault="00000000">
      <w:pPr>
        <w:keepNext/>
        <w:spacing w:before="160" w:after="40"/>
      </w:pPr>
      <w:r>
        <w:rPr>
          <w:rFonts w:ascii="Arial" w:hAnsi="Arial"/>
          <w:b/>
          <w:color w:val="1B365D"/>
          <w:sz w:val="19"/>
        </w:rPr>
        <w:t xml:space="preserve">Team ID: </w:t>
      </w:r>
      <w:r w:rsidR="002A1743">
        <w:rPr>
          <w:rFonts w:ascii="Arial" w:hAnsi="Arial"/>
          <w:b/>
          <w:color w:val="1B365D"/>
          <w:sz w:val="19"/>
        </w:rPr>
        <w:t>170544</w:t>
      </w:r>
    </w:p>
    <w:sectPr w:rsidR="00222251" w:rsidSect="00034616">
      <w:headerReference w:type="default" r:id="rId8"/>
      <w:footerReference w:type="default" r:id="rId9"/>
      <w:pgSz w:w="11909" w:h="16834"/>
      <w:pgMar w:top="835" w:right="835" w:bottom="835" w:left="83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20958A" w14:textId="77777777" w:rsidR="0054175B" w:rsidRDefault="0054175B">
      <w:pPr>
        <w:spacing w:after="0" w:line="240" w:lineRule="auto"/>
      </w:pPr>
      <w:r>
        <w:separator/>
      </w:r>
    </w:p>
  </w:endnote>
  <w:endnote w:type="continuationSeparator" w:id="0">
    <w:p w14:paraId="3D7ECFF3" w14:textId="77777777" w:rsidR="0054175B" w:rsidRDefault="005417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6D8F1" w14:textId="77777777" w:rsidR="00222251" w:rsidRDefault="00000000">
    <w:pPr>
      <w:pStyle w:val="Footer"/>
      <w:spacing w:before="40"/>
    </w:pPr>
    <w:r>
      <w:rPr>
        <w:rFonts w:ascii="Arial" w:hAnsi="Arial"/>
        <w:color w:val="64748B"/>
        <w:sz w:val="16"/>
      </w:rPr>
      <w:t>AgroConnect — Detailed Project Report  |  Theme: Agriculture, FoodTech</w:t>
    </w:r>
    <w:r>
      <w:rPr>
        <w:rFonts w:ascii="Arial" w:hAnsi="Arial"/>
        <w:color w:val="64748B"/>
        <w:sz w:val="16"/>
      </w:rPr>
      <w:tab/>
      <w:t xml:space="preserve">Page </w:t>
    </w:r>
    <w:r>
      <w:rPr>
        <w:rFonts w:ascii="Arial" w:hAnsi="Arial"/>
        <w:color w:val="64748B"/>
        <w:sz w:val="16"/>
      </w:rPr>
      <w:fldChar w:fldCharType="begin"/>
    </w:r>
    <w:r>
      <w:rPr>
        <w:rFonts w:ascii="Arial" w:hAnsi="Arial"/>
        <w:color w:val="64748B"/>
        <w:sz w:val="16"/>
      </w:rPr>
      <w:instrText xml:space="preserve"> PAGE </w:instrText>
    </w:r>
    <w:r>
      <w:rPr>
        <w:rFonts w:ascii="Arial" w:hAnsi="Arial"/>
        <w:color w:val="64748B"/>
        <w:sz w:val="16"/>
      </w:rPr>
      <w:fldChar w:fldCharType="separate"/>
    </w:r>
    <w:r w:rsidR="002A1743">
      <w:rPr>
        <w:rFonts w:ascii="Arial" w:hAnsi="Arial"/>
        <w:noProof/>
        <w:color w:val="64748B"/>
        <w:sz w:val="16"/>
      </w:rPr>
      <w:t>1</w:t>
    </w:r>
    <w:r>
      <w:rPr>
        <w:rFonts w:ascii="Arial" w:hAnsi="Arial"/>
        <w:color w:val="64748B"/>
        <w:sz w:val="16"/>
      </w:rPr>
      <w:fldChar w:fldCharType="end"/>
    </w:r>
    <w:r>
      <w:rPr>
        <w:rFonts w:ascii="Arial" w:hAnsi="Arial"/>
        <w:color w:val="64748B"/>
        <w:sz w:val="16"/>
      </w:rPr>
      <w:t xml:space="preserve"> of </w:t>
    </w:r>
    <w:r>
      <w:rPr>
        <w:rFonts w:ascii="Arial" w:hAnsi="Arial"/>
        <w:color w:val="64748B"/>
        <w:sz w:val="16"/>
      </w:rPr>
      <w:fldChar w:fldCharType="begin"/>
    </w:r>
    <w:r>
      <w:rPr>
        <w:rFonts w:ascii="Arial" w:hAnsi="Arial"/>
        <w:color w:val="64748B"/>
        <w:sz w:val="16"/>
      </w:rPr>
      <w:instrText xml:space="preserve"> NUMPAGES </w:instrText>
    </w:r>
    <w:r>
      <w:rPr>
        <w:rFonts w:ascii="Arial" w:hAnsi="Arial"/>
        <w:color w:val="64748B"/>
        <w:sz w:val="16"/>
      </w:rPr>
      <w:fldChar w:fldCharType="separate"/>
    </w:r>
    <w:r w:rsidR="002A1743">
      <w:rPr>
        <w:rFonts w:ascii="Arial" w:hAnsi="Arial"/>
        <w:noProof/>
        <w:color w:val="64748B"/>
        <w:sz w:val="16"/>
      </w:rPr>
      <w:t>2</w:t>
    </w:r>
    <w:r>
      <w:rPr>
        <w:rFonts w:ascii="Arial" w:hAnsi="Arial"/>
        <w:color w:val="64748B"/>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4F7E5B" w14:textId="77777777" w:rsidR="0054175B" w:rsidRDefault="0054175B">
      <w:pPr>
        <w:spacing w:after="0" w:line="240" w:lineRule="auto"/>
      </w:pPr>
      <w:r>
        <w:separator/>
      </w:r>
    </w:p>
  </w:footnote>
  <w:footnote w:type="continuationSeparator" w:id="0">
    <w:p w14:paraId="22F79928" w14:textId="77777777" w:rsidR="0054175B" w:rsidRDefault="005417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0BE22" w14:textId="77777777" w:rsidR="00222251" w:rsidRDefault="00000000">
    <w:pPr>
      <w:pStyle w:val="Header"/>
      <w:spacing w:after="40"/>
      <w:jc w:val="right"/>
    </w:pPr>
    <w:r>
      <w:rPr>
        <w:rFonts w:ascii="Arial" w:hAnsi="Arial"/>
        <w:color w:val="64748B"/>
        <w:sz w:val="16"/>
      </w:rPr>
      <w:t>Smart India Hackathon 2026  |  Team Integrity  |  PS ID: SIH26132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0832417">
    <w:abstractNumId w:val="8"/>
  </w:num>
  <w:num w:numId="2" w16cid:durableId="307975864">
    <w:abstractNumId w:val="6"/>
  </w:num>
  <w:num w:numId="3" w16cid:durableId="1947080421">
    <w:abstractNumId w:val="5"/>
  </w:num>
  <w:num w:numId="4" w16cid:durableId="704528953">
    <w:abstractNumId w:val="4"/>
  </w:num>
  <w:num w:numId="5" w16cid:durableId="1104035705">
    <w:abstractNumId w:val="7"/>
  </w:num>
  <w:num w:numId="6" w16cid:durableId="293633430">
    <w:abstractNumId w:val="3"/>
  </w:num>
  <w:num w:numId="7" w16cid:durableId="1721899997">
    <w:abstractNumId w:val="2"/>
  </w:num>
  <w:num w:numId="8" w16cid:durableId="1220828548">
    <w:abstractNumId w:val="1"/>
  </w:num>
  <w:num w:numId="9" w16cid:durableId="2635366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2251"/>
    <w:rsid w:val="0029639D"/>
    <w:rsid w:val="002A1743"/>
    <w:rsid w:val="00326F90"/>
    <w:rsid w:val="00502BCE"/>
    <w:rsid w:val="0054175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C3CDAD"/>
  <w14:defaultImageDpi w14:val="300"/>
  <w15:docId w15:val="{13AEBA39-6367-4F96-86E2-60DB4F605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2099</Words>
  <Characters>11965</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Samradh Vikram Srivastava</cp:lastModifiedBy>
  <cp:revision>2</cp:revision>
  <dcterms:created xsi:type="dcterms:W3CDTF">2013-12-23T23:15:00Z</dcterms:created>
  <dcterms:modified xsi:type="dcterms:W3CDTF">2026-09-25T10:30:00Z</dcterms:modified>
  <cp:category/>
</cp:coreProperties>
</file>