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SOP 43 – Incident Involving Drone Use or Aerial Devices</w:t>
        <w:br w:type="textWrapping"/>
      </w:r>
      <w:r w:rsidDel="00000000" w:rsidR="00000000" w:rsidRPr="00000000">
        <w:rPr>
          <w:rtl w:val="0"/>
        </w:rPr>
        <w:t xml:space="preserve"> </w:t>
      </w:r>
      <w:r w:rsidDel="00000000" w:rsidR="00000000" w:rsidRPr="00000000">
        <w:rPr>
          <w:i w:val="1"/>
          <w:rtl w:val="0"/>
        </w:rPr>
        <w:t xml:space="preserve">Douglas Forest RV Resort LLC – 106 Douglas Road, Webster, MA</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If a drone or other aerial device is spotted flying over guest areas, notify the General Manager or on-site lead immediately.</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If the drone appears to be spying, filming private areas (e.g., bathrooms, RV interiors), or flying dangerously, document the activity and call local law enforcement if the pilot cannot be located or is uncooperative.</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Do not attempt to disable, strike, or interfere with the drone physically.</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Attempt to locate the drone operator by observing line of sight and listening for remote control noise. If found, ask them to land the drone and explain park policy:</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Drone use is prohibited unless authorized by management in writing.</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Flying over people, private RVs, or restricted areas is strictly forbidden.</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Record:</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Time and location of flight</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Description of the drone</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Name and site number of the operator (if known)</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Witness names and contact info</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Take photos or videos of the drone and operator (if safe and non-confrontational).</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Complete an Incident Report including:</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Any safety risk or complaints received</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Operator’s response or compliance</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Law enforcement involvement, if any</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Management will determine if further action is needed, including warnings, removal, or trespass notice.</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If drone footage is suspected to include inappropriate or illegal recordings, report immediately to police and preserve any available evidence.</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Signage and policy language should clearly state that drone use is restricted to avoid future violations.</w:t>
        <w:br w:type="textWrapping"/>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