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49 – Incident Involving Noise Complaint After Quiet Hours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Quiet hours are strictly enforced between 10:00 PM and 8:00 AM daily. If a noise complaint is received during this time, respond promptly and respectfully.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Approach the source of the noise calmly. Inform the guest that a complaint was received and that quiet hours are in effect.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that they lower their volume, turn off music, or move inside if necessary. Do not argue or escalate.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guest refuses to comply or the noise continues, notify the General Manager or on-site lead.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 is a large gathering or repeated violations, management may choose to: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Issue a written warning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Shut down the gathering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law enforcement if the situation escalates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nature of the complaint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number or name of responsible party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Witnesses (if any)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instructions and the guest’s response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disturbance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taken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it was resolved or repeated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volunteers or staff to threaten removal or confront guests aggressively. All enforcement must be handled professionally.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issue involves multiple guests or sites, log each separately for accurate documentation.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Continued violations may result in eviction at the discretion of park management.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50 – Incident Involving Property Theft or Missing Guest Belongings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 reports stolen or missing belongings, listen calmly and assure them the matter will be taken seriously and documented.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accuse anyone or speculate about who may be responsible.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the guest for: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list of missing items (with descriptions and estimated value)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last known location and time they were seen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the items were secured (inside RV, locked vehicle, etc.)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the reported area with the guest if appropriate. Look for signs of forced entry or disturbance. Do not disturb potential evidence.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theft may involve criminal activity, advise the guest to file a police report. If requested, call local law enforcement on their behalf.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 of the report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items and circumstances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Guest’s name, contact info, and site number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witness names or relevant camera footage (if available)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the guest’s statement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observations or response steps taken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police were involved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 the guest that management will review all available information and follow up. Do not make promises regarding reimbursement or recovery.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next steps including internal review, security adjustments, or claims processing.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