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Response to Reviewer: IEEE ISAIA 2026, Paper 93</w:t>
      </w:r>
    </w:p>
    <w:p>
      <w:r>
        <w:rPr>
          <w:b/>
        </w:rPr>
        <w:t xml:space="preserve">Title:</w:t>
      </w:r>
      <w:r>
        <w:t xml:space="preserve"> ARES: A Formal Reliability Framework for Detecting Anomalous Behaviour</w:t>
      </w:r>
    </w:p>
    <w:p>
      <w:r>
        <w:t xml:space="preserve">in Agentic AI Systems</w:t>
      </w:r>
    </w:p>
    <w:p>
      <w:r>
        <w:rPr>
          <w:b/>
        </w:rPr>
        <w:t xml:space="preserve">Authors:</w:t>
      </w:r>
      <w:r>
        <w:t xml:space="preserve"> Mohammad Makchudul Alam, Md. Redowan Zaman Anik,</w:t>
      </w:r>
    </w:p>
    <w:p>
      <w:r>
        <w:t xml:space="preserve">Sabrein Serag El Din el Bodour, Anca Delia Jurcut</w:t>
      </w:r>
    </w:p>
    <w:p>
      <w:r>
        <w:rPr>
          <w:b/>
        </w:rPr>
        <w:t xml:space="preserve">Decision:</w:t>
      </w:r>
      <w:r>
        <w:t xml:space="preserve"> Accept (Reviewer 1, score 2, "recommend acceptance in its current</w:t>
      </w:r>
    </w:p>
    <w:p>
      <w:r>
        <w:t xml:space="preserve">format")</w:t>
      </w:r>
    </w:p>
    <w:p>
      <w:pPr>
        <w:pBdr>
          <w:bottom w:val="single" w:sz="6" w:space="1" w:color="AAAAAA"/>
        </w:pBdr>
      </w:pPr>
    </w:p>
    <w:p>
      <w:r>
        <w:t xml:space="preserve">We thank the reviewer for the positive assessment and for recommending</w:t>
      </w:r>
    </w:p>
    <w:p>
      <w:r>
        <w:t xml:space="preserve">acceptance. We are grateful for the constructive suggestions, and we have</w:t>
      </w:r>
    </w:p>
    <w:p>
      <w:r>
        <w:t xml:space="preserve">incorporated all three into the camera-ready version. Because the reviewer</w:t>
      </w:r>
    </w:p>
    <w:p>
      <w:r>
        <w:t xml:space="preserve">recommended acceptance in the current format, the changes are enhancements that</w:t>
      </w:r>
    </w:p>
    <w:p>
      <w:r>
        <w:t xml:space="preserve">strengthen the paper without altering its claims. Each point is addressed below,</w:t>
      </w:r>
    </w:p>
    <w:p>
      <w:r>
        <w:t xml:space="preserve">with a pointer to the relevant text.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Comment 1: Clarify how the benchmark data was generated / collected, and the annotation process (for reproducibility)</w:t>
      </w:r>
    </w:p>
    <w:p>
      <w:r>
        <w:t xml:space="preserve">We agree that reproducibility rests on this being explicit, and Section V now</w:t>
      </w:r>
    </w:p>
    <w:p>
      <w:r>
        <w:t xml:space="preserve">documents both the generation and the annotation pipeline in full.</w:t>
      </w:r>
    </w:p>
    <w:p>
      <w:r>
        <w:rPr>
          <w:b/>
        </w:rPr>
        <w:t xml:space="preserve">Data generation</w:t>
      </w:r>
      <w:r>
        <w:t xml:space="preserve"> (Section V, *Dataset construction*): scenarios are templated</w:t>
      </w:r>
    </w:p>
    <w:p>
      <w:r>
        <w:t xml:space="preserve">from MITRE ATT&amp;CK v14 kill-chains and NVD CVE records, each fixing a ground-truth</w:t>
      </w:r>
    </w:p>
    <w:p>
      <w:r>
        <w:t xml:space="preserve">threat class, TTP chain, and required capability profile against which the</w:t>
      </w:r>
    </w:p>
    <w:p>
      <w:r>
        <w:t xml:space="preserve">agent's output is scored. Mismatch is injected through deliberately realistic</w:t>
      </w:r>
    </w:p>
    <w:p>
      <w:r>
        <w:t xml:space="preserve">mechanisms rather than random corruption: δ_S disables skill/tool nodes in the</w:t>
      </w:r>
    </w:p>
    <w:p>
      <w:r>
        <w:t xml:space="preserve">execution graph; δ_K filters ATT&amp;CK TTP context from retrieval to a controlled</w:t>
      </w:r>
    </w:p>
    <w:p>
      <w:r>
        <w:t xml:space="preserve">fraction; δ_C intercepts tool calls via a permission-denying middleware proxy;</w:t>
      </w:r>
    </w:p>
    <w:p>
      <w:r>
        <w:t xml:space="preserve">δ_R inserts misleading content into the system prompt at a controlled</w:t>
      </w:r>
    </w:p>
    <w:p>
      <w:r>
        <w:t xml:space="preserve">probability; and δ_T is set through the agent's knowledge-age attribute.</w:t>
      </w:r>
    </w:p>
    <w:p>
      <w:r>
        <w:t xml:space="preserve">Generation is deterministic (fixed seed), and the full generator, injection</w:t>
      </w:r>
    </w:p>
    <w:p>
      <w:r>
        <w:t xml:space="preserve">harness, and per-record provenance are released with the testbed so every trace</w:t>
      </w:r>
    </w:p>
    <w:p>
      <w:r>
        <w:t xml:space="preserve">is reproducible from source.</w:t>
      </w:r>
    </w:p>
    <w:p>
      <w:r>
        <w:rPr>
          <w:b/>
        </w:rPr>
        <w:t xml:space="preserve">Annotation</w:t>
      </w:r>
      <w:r>
        <w:t xml:space="preserve"> (Section V, *Labelling protocol*): failure modes are first</w:t>
      </w:r>
    </w:p>
    <w:p>
      <w:r>
        <w:t xml:space="preserve">assigned by a deterministic rule-based engine that compares each agent output</w:t>
      </w:r>
    </w:p>
    <w:p>
      <w:r>
        <w:t xml:space="preserve">against the ATT&amp;CK-derived ground truth using a fixed codebook of five</w:t>
      </w:r>
    </w:p>
    <w:p>
      <w:r>
        <w:t xml:space="preserve">manifestations. A 10% stratified sample (n = 100) is then independently reviewed</w:t>
      </w:r>
    </w:p>
    <w:p>
      <w:r>
        <w:t xml:space="preserve">by two annotators; inter-rater agreement is Cohen's κ = 0.84 for origin code and</w:t>
      </w:r>
    </w:p>
    <w:p>
      <w:r>
        <w:t xml:space="preserve">κ = 0.91 for manifestation code, with disagreements resolved by adjudication and</w:t>
      </w:r>
    </w:p>
    <w:p>
      <w:r>
        <w:t xml:space="preserve">rule-based labels revised to match human judgement in 4.3% of reviewed cases.</w:t>
      </w:r>
    </w:p>
    <w:p>
      <w:r>
        <w:t xml:space="preserve">To support reproducibility beyond the description, the SOCAgentFailure-1K corpus,</w:t>
      </w:r>
    </w:p>
    <w:p>
      <w:r>
        <w:t xml:space="preserve">the generator, and the evaluation testbed are released publicly</w:t>
      </w:r>
    </w:p>
    <w:p>
      <w:r>
        <w:t xml:space="preserve">(https://github.com/IntelEyes/ARES-Framework).</w:t>
      </w:r>
    </w:p>
    <w:p>
      <w:pPr>
        <w:pStyle w:val="Heading3"/>
      </w:pPr>
      <w:r>
        <w:t xml:space="preserve">Comment 2: Discuss how the framework performs across other leading LLMs beyond the Mistral backbone</w:t>
      </w:r>
    </w:p>
    <w:p>
      <w:r>
        <w:t xml:space="preserve">Section V includes a *Cross-model-family generalisation* result addressing this</w:t>
      </w:r>
    </w:p>
    <w:p>
      <w:r>
        <w:t xml:space="preserve">directly. Beyond the Mistral-7B-Instruct backbone used for the main corpus, we</w:t>
      </w:r>
    </w:p>
    <w:p>
      <w:r>
        <w:t xml:space="preserve">evaluate the knowledge-mismatch-versus-hallucination relationship across four LLM</w:t>
      </w:r>
    </w:p>
    <w:p>
      <w:r>
        <w:t xml:space="preserve">families spanning 7B to frontier scale, Mistral-7B-Instruct, GPT-4o-mini,</w:t>
      </w:r>
    </w:p>
    <w:p>
      <w:r>
        <w:t xml:space="preserve">Claude Haiku 4.5, and Claude Sonnet 4.6. The relationship replicates directionally</w:t>
      </w:r>
    </w:p>
    <w:p>
      <w:r>
        <w:t xml:space="preserve">(bucket-aggregated ρ ∈ [0.78, 0.95]), with absolute thresholds requiring</w:t>
      </w:r>
    </w:p>
    <w:p>
      <w:r>
        <w:t xml:space="preserve">per-model recalibration. The *shape* of the signal therefore transfers across</w:t>
      </w:r>
    </w:p>
    <w:p>
      <w:r>
        <w:t xml:space="preserve">backbones even though the operating threshold must be re-fit per model, which we</w:t>
      </w:r>
    </w:p>
    <w:p>
      <w:r>
        <w:t xml:space="preserve">also note in the Discussion (*LLM specificity*).</w:t>
      </w:r>
    </w:p>
    <w:p>
      <w:pPr>
        <w:pStyle w:val="Heading3"/>
      </w:pPr>
      <w:r>
        <w:t xml:space="preserve">Comment 3: Additional discussion on future directions</w:t>
      </w:r>
    </w:p>
    <w:p>
      <w:r>
        <w:t xml:space="preserve">We have expanded the future-work discussion in Section VII. It now leads with the</w:t>
      </w:r>
    </w:p>
    <w:p>
      <w:r>
        <w:t xml:space="preserve">most consequential direction, moving from controlled injection to live</w:t>
      </w:r>
    </w:p>
    <w:p>
      <w:r>
        <w:t xml:space="preserve">measurement, recovering the mismatch dimensions from real agents in a production</w:t>
      </w:r>
    </w:p>
    <w:p>
      <w:r>
        <w:t xml:space="preserve">SOC where δ_K and expressed uncertainty are read from telemetry rather than set by</w:t>
      </w:r>
    </w:p>
    <w:p>
      <w:r>
        <w:t xml:space="preserve">construction, and notes that companion work has begun on the knowledge and</w:t>
      </w:r>
    </w:p>
    <w:p>
      <w:r>
        <w:t xml:space="preserve">calibration terms, with early results suggesting that agent calibration, not</w:t>
      </w:r>
    </w:p>
    <w:p>
      <w:r>
        <w:t xml:space="preserve">knowledge coverage alone, governs whether a mismatch becomes a dangerous failure.</w:t>
      </w:r>
    </w:p>
    <w:p>
      <w:r>
        <w:t xml:space="preserve">Cyclic multi-agent architectures and adversarial mismatch injection are stated as</w:t>
      </w:r>
    </w:p>
    <w:p>
      <w:r>
        <w:t xml:space="preserve">further open directions.</w:t>
      </w:r>
    </w:p>
    <w:p>
      <w:pPr>
        <w:pBdr>
          <w:bottom w:val="single" w:sz="6" w:space="1" w:color="AAAAAA"/>
        </w:pBdr>
      </w:pPr>
    </w:p>
    <w:p>
      <w:r>
        <w:t xml:space="preserve">We thank the reviewer again for the careful reading and the helpful suggestions,</w:t>
      </w:r>
    </w:p>
    <w:p>
      <w:r>
        <w:t xml:space="preserve">which have improved the clarity and reproducibility of the final version.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sz w:val="28"/>
      <w:color w:val="2E5496"/>
    </w:rPr>
  </w:style>
  <w:style w:type="paragraph" w:styleId="Heading3">
    <w:name w:val="heading 3"/>
    <w:basedOn w:val="Normal"/>
    <w:pPr>
      <w:spacing w:before="160" w:after="60"/>
      <w:outlineLvl w:val="2"/>
    </w:pPr>
    <w:rPr>
      <w:b/>
      <w:sz w:val="24"/>
      <w:color w:val="2E5496"/>
    </w:rPr>
  </w:style>
  <w:style w:type="paragraph" w:styleId="Quote">
    <w:name w:val="Quote"/>
    <w:basedOn w:val="Normal"/>
    <w:pPr>
      <w:ind w:left="360"/>
    </w:pPr>
    <w:rPr>
      <w:i/>
      <w:color w:val="555555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