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rPr>
          <w:b w:val="1"/>
          <w:bCs w:val="1"/>
        </w:rPr>
      </w:pPr>
      <w:bookmarkStart w:colFirst="0" w:colLast="0" w:name="_heading=h.rs5dc5n0hmp1"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Sophia de Oliveira Tosar</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Adoption of Generative Artificial Intelligence in Emerging Economies: Evidence of Governance and Organizational Maturity in Brazil</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spacing w:after="0" w:lineRule="auto"/>
        <w:jc w:val="center"/>
        <w:rPr/>
      </w:pPr>
      <w:r w:rsidDel="00000000" w:rsidR="00000000" w:rsidRPr="00000000">
        <w:rPr>
          <w:rtl w:val="0"/>
        </w:rPr>
        <w:t xml:space="preserve">SÃO PAULO</w:t>
      </w:r>
    </w:p>
    <w:p w:rsidR="00000000" w:rsidDel="00000000" w:rsidP="00000000" w:rsidRDefault="00000000" w:rsidRPr="00000000" w14:paraId="00000020">
      <w:pPr>
        <w:jc w:val="center"/>
        <w:rPr/>
      </w:pPr>
      <w:r w:rsidDel="00000000" w:rsidR="00000000" w:rsidRPr="00000000">
        <w:rPr>
          <w:rtl w:val="0"/>
        </w:rPr>
        <w:t xml:space="preserve">2025 </w:t>
      </w:r>
    </w:p>
    <w:p w:rsidR="00000000" w:rsidDel="00000000" w:rsidP="00000000" w:rsidRDefault="00000000" w:rsidRPr="00000000" w14:paraId="00000021">
      <w:pPr>
        <w:pStyle w:val="Heading4"/>
        <w:spacing w:line="360" w:lineRule="auto"/>
        <w:rPr>
          <w:b w:val="1"/>
          <w:bCs w:val="1"/>
        </w:rPr>
      </w:pPr>
      <w:r w:rsidDel="00000000" w:rsidR="00000000" w:rsidRPr="00000000">
        <w:rPr>
          <w:rtl w:val="0"/>
        </w:rPr>
      </w:r>
    </w:p>
    <w:p w:rsidR="00000000" w:rsidDel="00000000" w:rsidP="00000000" w:rsidRDefault="00000000" w:rsidRPr="00000000" w14:paraId="00000022">
      <w:pPr>
        <w:spacing w:after="0" w:lineRule="auto"/>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Sophia de Oliveira Tosar</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b w:val="1"/>
          <w:bCs w:val="1"/>
          <w:rtl w:val="0"/>
        </w:rPr>
        <w:t xml:space="preserve">Adoption of Generative Artificial Intelligence in Emerging Economies: Evidence of Governance and Organizational Maturity in Brazil</w:t>
      </w:r>
      <w:r w:rsidDel="00000000" w:rsidR="00000000" w:rsidRPr="00000000">
        <w:rPr>
          <w:rtl w:val="0"/>
        </w:rPr>
      </w:r>
    </w:p>
    <w:p w:rsidR="00000000" w:rsidDel="00000000" w:rsidP="00000000" w:rsidRDefault="00000000" w:rsidRPr="00000000" w14:paraId="0000002D">
      <w:pPr>
        <w:jc w:val="center"/>
        <w:rPr>
          <w:b w:val="1"/>
          <w:bCs w:val="1"/>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spacing w:after="240" w:before="240" w:line="276" w:lineRule="auto"/>
        <w:ind w:left="4540" w:firstLine="0"/>
        <w:jc w:val="both"/>
        <w:rPr>
          <w:b w:val="1"/>
          <w:bCs w:val="1"/>
          <w:color w:val="ee0000"/>
        </w:rPr>
      </w:pPr>
      <w:bookmarkStart w:colFirst="0" w:colLast="0" w:name="_heading=h.gyc8elrg6me9" w:id="1"/>
      <w:bookmarkEnd w:id="1"/>
      <w:r w:rsidDel="00000000" w:rsidR="00000000" w:rsidRPr="00000000">
        <w:rPr>
          <w:rtl w:val="0"/>
        </w:rPr>
        <w:t xml:space="preserve">Final Course Project submitted to the Institute of Technology and Leadership (INTELI), to obtain a bachelor's degree in Software Engineering.</w:t>
      </w:r>
      <w:r w:rsidDel="00000000" w:rsidR="00000000" w:rsidRPr="00000000">
        <w:rPr>
          <w:rtl w:val="0"/>
        </w:rPr>
      </w:r>
    </w:p>
    <w:p w:rsidR="00000000" w:rsidDel="00000000" w:rsidP="00000000" w:rsidRDefault="00000000" w:rsidRPr="00000000" w14:paraId="00000031">
      <w:pPr>
        <w:spacing w:line="240" w:lineRule="auto"/>
        <w:ind w:left="4536" w:firstLine="0"/>
        <w:jc w:val="both"/>
        <w:rPr/>
      </w:pPr>
      <w:r w:rsidDel="00000000" w:rsidR="00000000" w:rsidRPr="00000000">
        <w:rPr>
          <w:rtl w:val="0"/>
        </w:rPr>
      </w:r>
    </w:p>
    <w:p w:rsidR="00000000" w:rsidDel="00000000" w:rsidP="00000000" w:rsidRDefault="00000000" w:rsidRPr="00000000" w14:paraId="00000032">
      <w:pPr>
        <w:spacing w:line="240" w:lineRule="auto"/>
        <w:ind w:left="4536" w:firstLine="0"/>
        <w:jc w:val="both"/>
        <w:rPr/>
      </w:pPr>
      <w:r w:rsidDel="00000000" w:rsidR="00000000" w:rsidRPr="00000000">
        <w:rPr>
          <w:rtl w:val="0"/>
        </w:rPr>
        <w:t xml:space="preserve">Advisor: Prof. Flavia Santoro</w:t>
      </w:r>
    </w:p>
    <w:p w:rsidR="00000000" w:rsidDel="00000000" w:rsidP="00000000" w:rsidRDefault="00000000" w:rsidRPr="00000000" w14:paraId="00000033">
      <w:pPr>
        <w:spacing w:line="240" w:lineRule="auto"/>
        <w:ind w:left="4536" w:firstLine="0"/>
        <w:jc w:val="both"/>
        <w:rPr>
          <w:highlight w:val="yellow"/>
        </w:rPr>
      </w:pPr>
      <w:r w:rsidDel="00000000" w:rsidR="00000000" w:rsidRPr="00000000">
        <w:rPr>
          <w:rtl w:val="0"/>
        </w:rPr>
      </w:r>
    </w:p>
    <w:p w:rsidR="00000000" w:rsidDel="00000000" w:rsidP="00000000" w:rsidRDefault="00000000" w:rsidRPr="00000000" w14:paraId="00000034">
      <w:pPr>
        <w:ind w:left="4253" w:firstLine="0"/>
        <w:jc w:val="both"/>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spacing w:line="240" w:lineRule="auto"/>
        <w:jc w:val="center"/>
        <w:rPr/>
      </w:pPr>
      <w:r w:rsidDel="00000000" w:rsidR="00000000" w:rsidRPr="00000000">
        <w:rPr>
          <w:rtl w:val="0"/>
        </w:rPr>
      </w:r>
    </w:p>
    <w:p w:rsidR="00000000" w:rsidDel="00000000" w:rsidP="00000000" w:rsidRDefault="00000000" w:rsidRPr="00000000" w14:paraId="00000038">
      <w:pPr>
        <w:spacing w:line="240" w:lineRule="auto"/>
        <w:jc w:val="center"/>
        <w:rPr/>
      </w:pPr>
      <w:r w:rsidDel="00000000" w:rsidR="00000000" w:rsidRPr="00000000">
        <w:rPr>
          <w:rtl w:val="0"/>
        </w:rPr>
      </w:r>
    </w:p>
    <w:p w:rsidR="00000000" w:rsidDel="00000000" w:rsidP="00000000" w:rsidRDefault="00000000" w:rsidRPr="00000000" w14:paraId="00000039">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A">
      <w:pPr>
        <w:spacing w:line="240" w:lineRule="auto"/>
        <w:jc w:val="center"/>
        <w:rPr/>
      </w:pPr>
      <w:r w:rsidDel="00000000" w:rsidR="00000000" w:rsidRPr="00000000">
        <w:rPr>
          <w:rtl w:val="0"/>
        </w:rPr>
        <w:t xml:space="preserve">2025</w:t>
      </w:r>
    </w:p>
    <w:p w:rsidR="00000000" w:rsidDel="00000000" w:rsidP="00000000" w:rsidRDefault="00000000" w:rsidRPr="00000000" w14:paraId="0000003B">
      <w:pPr>
        <w:pStyle w:val="Heading4"/>
        <w:spacing w:line="360" w:lineRule="auto"/>
        <w:rPr>
          <w:b w:val="1"/>
          <w:bCs w:val="1"/>
          <w:color w:val="000000"/>
        </w:rPr>
      </w:pPr>
      <w:r w:rsidDel="00000000" w:rsidR="00000000" w:rsidRPr="00000000">
        <w:rPr>
          <w:b w:val="1"/>
          <w:bCs w:val="1"/>
          <w:color w:val="ee0000"/>
          <w:rtl w:val="0"/>
        </w:rPr>
        <w:t xml:space="preserve">(Catalog Card (mandatory item </w:t>
      </w:r>
      <w:r w:rsidDel="00000000" w:rsidR="00000000" w:rsidRPr="00000000">
        <w:rPr>
          <w:color w:val="ee0000"/>
          <w:rtl w:val="0"/>
        </w:rPr>
        <w:t xml:space="preserve">– </w:t>
      </w:r>
      <w:r w:rsidDel="00000000" w:rsidR="00000000" w:rsidRPr="00000000">
        <w:rPr>
          <w:b w:val="1"/>
          <w:bCs w:val="1"/>
          <w:color w:val="ee0000"/>
          <w:rtl w:val="0"/>
        </w:rPr>
        <w:t xml:space="preserve">NBR14724, item 4.2.1.1.2))</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B">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C">
      <w:pPr>
        <w:spacing w:after="0" w:line="240" w:lineRule="auto"/>
        <w:jc w:val="center"/>
        <w:rPr/>
      </w:pPr>
      <w:r w:rsidDel="00000000" w:rsidR="00000000" w:rsidRPr="00000000">
        <w:rPr>
          <w:rtl w:val="0"/>
        </w:rPr>
        <w:t xml:space="preserve">Instituto de Tecnologia e Liderança (INTELI)</w:t>
      </w:r>
    </w:p>
    <w:p w:rsidR="00000000" w:rsidDel="00000000" w:rsidP="00000000" w:rsidRDefault="00000000" w:rsidRPr="00000000" w14:paraId="0000004D">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E">
      <w:pPr>
        <w:spacing w:after="0"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4F">
      <w:pPr>
        <w:spacing w:after="0" w:line="240" w:lineRule="auto"/>
        <w:jc w:val="center"/>
        <w:rPr/>
      </w:pPr>
      <w:r w:rsidDel="00000000" w:rsidR="00000000" w:rsidRPr="00000000">
        <w:rPr>
          <w:rtl w:val="0"/>
        </w:rPr>
      </w:r>
    </w:p>
    <w:p w:rsidR="00000000" w:rsidDel="00000000" w:rsidP="00000000" w:rsidRDefault="00000000" w:rsidRPr="00000000" w14:paraId="00000050">
      <w:pPr>
        <w:spacing w:after="0" w:line="240" w:lineRule="auto"/>
        <w:jc w:val="center"/>
        <w:rPr/>
      </w:pPr>
      <w:r w:rsidDel="00000000" w:rsidR="00000000" w:rsidRPr="00000000">
        <w:rPr/>
        <w:drawing>
          <wp:inline distB="0" distT="0" distL="0" distR="0">
            <wp:extent cx="5400656" cy="3174545"/>
            <wp:effectExtent b="0" l="0" r="0" t="0"/>
            <wp:docPr id="69156464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jc w:val="center"/>
        <w:rPr/>
      </w:pPr>
      <w:r w:rsidDel="00000000" w:rsidR="00000000" w:rsidRPr="00000000">
        <w:rPr>
          <w:rtl w:val="0"/>
        </w:rPr>
      </w:r>
    </w:p>
    <w:p w:rsidR="00000000" w:rsidDel="00000000" w:rsidP="00000000" w:rsidRDefault="00000000" w:rsidRPr="00000000" w14:paraId="00000053">
      <w:pPr>
        <w:spacing w:after="0" w:line="360" w:lineRule="auto"/>
        <w:ind w:firstLine="709"/>
        <w:rPr/>
      </w:pPr>
      <w:r w:rsidDel="00000000" w:rsidR="00000000" w:rsidRPr="00000000">
        <w:rPr>
          <w:rtl w:val="0"/>
        </w:rPr>
      </w:r>
    </w:p>
    <w:p w:rsidR="00000000" w:rsidDel="00000000" w:rsidP="00000000" w:rsidRDefault="00000000" w:rsidRPr="00000000" w14:paraId="00000054">
      <w:pPr>
        <w:ind w:firstLine="709"/>
        <w:rPr/>
      </w:pPr>
      <w:r w:rsidDel="00000000" w:rsidR="00000000" w:rsidRPr="00000000">
        <w:rPr>
          <w:rtl w:val="0"/>
        </w:rPr>
      </w:r>
    </w:p>
    <w:p w:rsidR="00000000" w:rsidDel="00000000" w:rsidP="00000000" w:rsidRDefault="00000000" w:rsidRPr="00000000" w14:paraId="00000055">
      <w:pPr>
        <w:ind w:firstLine="709"/>
        <w:rPr/>
      </w:pPr>
      <w:r w:rsidDel="00000000" w:rsidR="00000000" w:rsidRPr="00000000">
        <w:rPr>
          <w:rtl w:val="0"/>
        </w:rPr>
      </w:r>
    </w:p>
    <w:p w:rsidR="00000000" w:rsidDel="00000000" w:rsidP="00000000" w:rsidRDefault="00000000" w:rsidRPr="00000000" w14:paraId="00000056">
      <w:pPr>
        <w:ind w:firstLine="709"/>
        <w:rPr/>
      </w:pPr>
      <w:r w:rsidDel="00000000" w:rsidR="00000000" w:rsidRPr="00000000">
        <w:rPr>
          <w:rtl w:val="0"/>
        </w:rPr>
      </w:r>
    </w:p>
    <w:p w:rsidR="00000000" w:rsidDel="00000000" w:rsidP="00000000" w:rsidRDefault="00000000" w:rsidRPr="00000000" w14:paraId="00000057">
      <w:pPr>
        <w:ind w:firstLine="709"/>
        <w:rPr/>
      </w:pPr>
      <w:r w:rsidDel="00000000" w:rsidR="00000000" w:rsidRPr="00000000">
        <w:rPr>
          <w:rtl w:val="0"/>
        </w:rPr>
      </w:r>
    </w:p>
    <w:p w:rsidR="00000000" w:rsidDel="00000000" w:rsidP="00000000" w:rsidRDefault="00000000" w:rsidRPr="00000000" w14:paraId="00000058">
      <w:pPr>
        <w:ind w:firstLine="709"/>
        <w:rPr/>
      </w:pPr>
      <w:r w:rsidDel="00000000" w:rsidR="00000000" w:rsidRPr="00000000">
        <w:rPr>
          <w:rtl w:val="0"/>
        </w:rPr>
      </w:r>
    </w:p>
    <w:p w:rsidR="00000000" w:rsidDel="00000000" w:rsidP="00000000" w:rsidRDefault="00000000" w:rsidRPr="00000000" w14:paraId="00000059">
      <w:pPr>
        <w:ind w:firstLine="709"/>
        <w:rPr/>
      </w:pPr>
      <w:r w:rsidDel="00000000" w:rsidR="00000000" w:rsidRPr="00000000">
        <w:rPr>
          <w:rtl w:val="0"/>
        </w:rPr>
      </w:r>
    </w:p>
    <w:p w:rsidR="00000000" w:rsidDel="00000000" w:rsidP="00000000" w:rsidRDefault="00000000" w:rsidRPr="00000000" w14:paraId="0000005A">
      <w:pPr>
        <w:ind w:firstLine="709"/>
        <w:rPr/>
      </w:pPr>
      <w:r w:rsidDel="00000000" w:rsidR="00000000" w:rsidRPr="00000000">
        <w:rPr>
          <w:rtl w:val="0"/>
        </w:rPr>
      </w:r>
    </w:p>
    <w:p w:rsidR="00000000" w:rsidDel="00000000" w:rsidP="00000000" w:rsidRDefault="00000000" w:rsidRPr="00000000" w14:paraId="0000005B">
      <w:pPr>
        <w:ind w:firstLine="709"/>
        <w:rPr/>
      </w:pPr>
      <w:r w:rsidDel="00000000" w:rsidR="00000000" w:rsidRPr="00000000">
        <w:rPr>
          <w:rtl w:val="0"/>
        </w:rPr>
      </w:r>
    </w:p>
    <w:p w:rsidR="00000000" w:rsidDel="00000000" w:rsidP="00000000" w:rsidRDefault="00000000" w:rsidRPr="00000000" w14:paraId="0000005C">
      <w:pPr>
        <w:ind w:firstLine="709"/>
        <w:rPr/>
      </w:pPr>
      <w:r w:rsidDel="00000000" w:rsidR="00000000" w:rsidRPr="00000000">
        <w:rPr>
          <w:rtl w:val="0"/>
        </w:rPr>
      </w:r>
    </w:p>
    <w:p w:rsidR="00000000" w:rsidDel="00000000" w:rsidP="00000000" w:rsidRDefault="00000000" w:rsidRPr="00000000" w14:paraId="0000005D">
      <w:pPr>
        <w:ind w:firstLine="709"/>
        <w:rPr/>
      </w:pPr>
      <w:r w:rsidDel="00000000" w:rsidR="00000000" w:rsidRPr="00000000">
        <w:rPr>
          <w:rtl w:val="0"/>
        </w:rPr>
      </w:r>
    </w:p>
    <w:p w:rsidR="00000000" w:rsidDel="00000000" w:rsidP="00000000" w:rsidRDefault="00000000" w:rsidRPr="00000000" w14:paraId="0000005E">
      <w:pPr>
        <w:ind w:firstLine="709"/>
        <w:rPr/>
      </w:pPr>
      <w:r w:rsidDel="00000000" w:rsidR="00000000" w:rsidRPr="00000000">
        <w:rPr>
          <w:rtl w:val="0"/>
        </w:rPr>
      </w:r>
    </w:p>
    <w:p w:rsidR="00000000" w:rsidDel="00000000" w:rsidP="00000000" w:rsidRDefault="00000000" w:rsidRPr="00000000" w14:paraId="0000005F">
      <w:pPr>
        <w:ind w:firstLine="709"/>
        <w:rPr/>
      </w:pPr>
      <w:r w:rsidDel="00000000" w:rsidR="00000000" w:rsidRPr="00000000">
        <w:rPr>
          <w:rtl w:val="0"/>
        </w:rPr>
      </w:r>
    </w:p>
    <w:p w:rsidR="00000000" w:rsidDel="00000000" w:rsidP="00000000" w:rsidRDefault="00000000" w:rsidRPr="00000000" w14:paraId="00000060">
      <w:pPr>
        <w:ind w:firstLine="709"/>
        <w:rPr/>
      </w:pPr>
      <w:r w:rsidDel="00000000" w:rsidR="00000000" w:rsidRPr="00000000">
        <w:rPr>
          <w:rtl w:val="0"/>
        </w:rPr>
      </w:r>
    </w:p>
    <w:p w:rsidR="00000000" w:rsidDel="00000000" w:rsidP="00000000" w:rsidRDefault="00000000" w:rsidRPr="00000000" w14:paraId="00000061">
      <w:pPr>
        <w:ind w:firstLine="709"/>
        <w:rPr/>
      </w:pPr>
      <w:r w:rsidDel="00000000" w:rsidR="00000000" w:rsidRPr="00000000">
        <w:rPr>
          <w:rtl w:val="0"/>
        </w:rPr>
      </w:r>
    </w:p>
    <w:p w:rsidR="00000000" w:rsidDel="00000000" w:rsidP="00000000" w:rsidRDefault="00000000" w:rsidRPr="00000000" w14:paraId="00000062">
      <w:pPr>
        <w:ind w:firstLine="709"/>
        <w:rPr/>
      </w:pPr>
      <w:r w:rsidDel="00000000" w:rsidR="00000000" w:rsidRPr="00000000">
        <w:rPr>
          <w:rtl w:val="0"/>
        </w:rPr>
      </w:r>
    </w:p>
    <w:p w:rsidR="00000000" w:rsidDel="00000000" w:rsidP="00000000" w:rsidRDefault="00000000" w:rsidRPr="00000000" w14:paraId="00000063">
      <w:pPr>
        <w:ind w:firstLine="709"/>
        <w:rPr/>
      </w:pPr>
      <w:r w:rsidDel="00000000" w:rsidR="00000000" w:rsidRPr="00000000">
        <w:rPr>
          <w:rtl w:val="0"/>
        </w:rPr>
      </w:r>
    </w:p>
    <w:p w:rsidR="00000000" w:rsidDel="00000000" w:rsidP="00000000" w:rsidRDefault="00000000" w:rsidRPr="00000000" w14:paraId="00000064">
      <w:pPr>
        <w:ind w:firstLine="709"/>
        <w:rPr/>
      </w:pPr>
      <w:r w:rsidDel="00000000" w:rsidR="00000000" w:rsidRPr="00000000">
        <w:rPr>
          <w:rtl w:val="0"/>
        </w:rPr>
      </w:r>
    </w:p>
    <w:p w:rsidR="00000000" w:rsidDel="00000000" w:rsidP="00000000" w:rsidRDefault="00000000" w:rsidRPr="00000000" w14:paraId="00000065">
      <w:pPr>
        <w:ind w:firstLine="709"/>
        <w:rPr/>
      </w:pPr>
      <w:r w:rsidDel="00000000" w:rsidR="00000000" w:rsidRPr="00000000">
        <w:rPr>
          <w:rtl w:val="0"/>
        </w:rPr>
      </w:r>
    </w:p>
    <w:p w:rsidR="00000000" w:rsidDel="00000000" w:rsidP="00000000" w:rsidRDefault="00000000" w:rsidRPr="00000000" w14:paraId="00000066">
      <w:pPr>
        <w:ind w:firstLine="709"/>
        <w:rPr/>
      </w:pPr>
      <w:r w:rsidDel="00000000" w:rsidR="00000000" w:rsidRPr="00000000">
        <w:rPr>
          <w:rtl w:val="0"/>
        </w:rPr>
      </w:r>
    </w:p>
    <w:p w:rsidR="00000000" w:rsidDel="00000000" w:rsidP="00000000" w:rsidRDefault="00000000" w:rsidRPr="00000000" w14:paraId="00000067">
      <w:pPr>
        <w:ind w:firstLine="709"/>
        <w:rPr/>
      </w:pPr>
      <w:r w:rsidDel="00000000" w:rsidR="00000000" w:rsidRPr="00000000">
        <w:rPr>
          <w:rtl w:val="0"/>
        </w:rPr>
      </w:r>
    </w:p>
    <w:p w:rsidR="00000000" w:rsidDel="00000000" w:rsidP="00000000" w:rsidRDefault="00000000" w:rsidRPr="00000000" w14:paraId="00000068">
      <w:pPr>
        <w:ind w:firstLine="709"/>
        <w:rPr/>
      </w:pPr>
      <w:r w:rsidDel="00000000" w:rsidR="00000000" w:rsidRPr="00000000">
        <w:rPr>
          <w:rtl w:val="0"/>
        </w:rPr>
      </w:r>
    </w:p>
    <w:p w:rsidR="00000000" w:rsidDel="00000000" w:rsidP="00000000" w:rsidRDefault="00000000" w:rsidRPr="00000000" w14:paraId="00000069">
      <w:pPr>
        <w:ind w:firstLine="709"/>
        <w:rPr/>
      </w:pPr>
      <w:r w:rsidDel="00000000" w:rsidR="00000000" w:rsidRPr="00000000">
        <w:rPr>
          <w:rtl w:val="0"/>
        </w:rPr>
      </w:r>
    </w:p>
    <w:p w:rsidR="00000000" w:rsidDel="00000000" w:rsidP="00000000" w:rsidRDefault="00000000" w:rsidRPr="00000000" w14:paraId="0000006A">
      <w:pPr>
        <w:ind w:firstLine="709"/>
        <w:rPr/>
      </w:pPr>
      <w:r w:rsidDel="00000000" w:rsidR="00000000" w:rsidRPr="00000000">
        <w:rPr>
          <w:rtl w:val="0"/>
        </w:rPr>
      </w:r>
    </w:p>
    <w:p w:rsidR="00000000" w:rsidDel="00000000" w:rsidP="00000000" w:rsidRDefault="00000000" w:rsidRPr="00000000" w14:paraId="0000006B">
      <w:pPr>
        <w:ind w:firstLine="709"/>
        <w:rPr/>
      </w:pPr>
      <w:r w:rsidDel="00000000" w:rsidR="00000000" w:rsidRPr="00000000">
        <w:rPr>
          <w:rtl w:val="0"/>
        </w:rPr>
      </w:r>
    </w:p>
    <w:p w:rsidR="00000000" w:rsidDel="00000000" w:rsidP="00000000" w:rsidRDefault="00000000" w:rsidRPr="00000000" w14:paraId="0000006C">
      <w:pPr>
        <w:ind w:left="4536" w:firstLine="0"/>
        <w:jc w:val="both"/>
        <w:rPr/>
      </w:pPr>
      <w:r w:rsidDel="00000000" w:rsidR="00000000" w:rsidRPr="00000000">
        <w:rPr>
          <w:rtl w:val="0"/>
        </w:rPr>
      </w:r>
    </w:p>
    <w:p w:rsidR="00000000" w:rsidDel="00000000" w:rsidP="00000000" w:rsidRDefault="00000000" w:rsidRPr="00000000" w14:paraId="0000006D">
      <w:pPr>
        <w:pStyle w:val="Heading3"/>
        <w:spacing w:line="360" w:lineRule="auto"/>
        <w:ind w:firstLine="4"/>
        <w:rPr/>
      </w:pPr>
      <w:r w:rsidDel="00000000" w:rsidR="00000000" w:rsidRPr="00000000">
        <w:rPr>
          <w:rtl w:val="0"/>
        </w:rPr>
      </w:r>
    </w:p>
    <w:p w:rsidR="00000000" w:rsidDel="00000000" w:rsidP="00000000" w:rsidRDefault="00000000" w:rsidRPr="00000000" w14:paraId="0000006E">
      <w:pPr>
        <w:pStyle w:val="Heading3"/>
        <w:spacing w:line="360" w:lineRule="auto"/>
        <w:ind w:firstLine="4"/>
        <w:rPr/>
      </w:pPr>
      <w:r w:rsidDel="00000000" w:rsidR="00000000" w:rsidRPr="00000000">
        <w:rPr>
          <w:rtl w:val="0"/>
        </w:rPr>
      </w:r>
    </w:p>
    <w:p w:rsidR="00000000" w:rsidDel="00000000" w:rsidP="00000000" w:rsidRDefault="00000000" w:rsidRPr="00000000" w14:paraId="0000006F">
      <w:pPr>
        <w:pStyle w:val="Heading3"/>
        <w:spacing w:line="360" w:lineRule="auto"/>
        <w:ind w:firstLine="4"/>
        <w:rPr/>
      </w:pPr>
      <w:r w:rsidDel="00000000" w:rsidR="00000000" w:rsidRPr="00000000">
        <w:rPr>
          <w:rtl w:val="0"/>
        </w:rPr>
      </w:r>
    </w:p>
    <w:p w:rsidR="00000000" w:rsidDel="00000000" w:rsidP="00000000" w:rsidRDefault="00000000" w:rsidRPr="00000000" w14:paraId="00000070">
      <w:pPr>
        <w:pStyle w:val="Heading3"/>
        <w:spacing w:line="360" w:lineRule="auto"/>
        <w:ind w:left="0" w:firstLine="0"/>
        <w:jc w:val="left"/>
        <w:rPr/>
      </w:pPr>
      <w:r w:rsidDel="00000000" w:rsidR="00000000" w:rsidRPr="00000000">
        <w:rPr>
          <w:rtl w:val="0"/>
        </w:rPr>
      </w:r>
    </w:p>
    <w:p w:rsidR="00000000" w:rsidDel="00000000" w:rsidP="00000000" w:rsidRDefault="00000000" w:rsidRPr="00000000" w14:paraId="00000071">
      <w:pPr>
        <w:pStyle w:val="Heading3"/>
        <w:spacing w:line="360" w:lineRule="auto"/>
        <w:ind w:firstLine="4"/>
        <w:rPr/>
      </w:pPr>
      <w:r w:rsidDel="00000000" w:rsidR="00000000" w:rsidRPr="00000000">
        <w:rPr>
          <w:rtl w:val="0"/>
        </w:rPr>
      </w:r>
    </w:p>
    <w:p w:rsidR="00000000" w:rsidDel="00000000" w:rsidP="00000000" w:rsidRDefault="00000000" w:rsidRPr="00000000" w14:paraId="00000072">
      <w:pPr>
        <w:pStyle w:val="Heading3"/>
        <w:spacing w:line="360" w:lineRule="auto"/>
        <w:ind w:firstLine="4"/>
        <w:rPr/>
      </w:pPr>
      <w:r w:rsidDel="00000000" w:rsidR="00000000" w:rsidRPr="00000000">
        <w:rPr>
          <w:rtl w:val="0"/>
        </w:rPr>
      </w:r>
    </w:p>
    <w:p w:rsidR="00000000" w:rsidDel="00000000" w:rsidP="00000000" w:rsidRDefault="00000000" w:rsidRPr="00000000" w14:paraId="00000073">
      <w:pPr>
        <w:pStyle w:val="Heading3"/>
        <w:spacing w:line="360" w:lineRule="auto"/>
        <w:ind w:firstLine="4"/>
        <w:rPr/>
      </w:pPr>
      <w:r w:rsidDel="00000000" w:rsidR="00000000" w:rsidRPr="00000000">
        <w:rPr>
          <w:rtl w:val="0"/>
        </w:rPr>
        <w:t xml:space="preserve">Resumo </w:t>
      </w:r>
      <w:r w:rsidDel="00000000" w:rsidR="00000000" w:rsidRPr="00000000">
        <w:rPr>
          <w:color w:val="ee0000"/>
          <w:rtl w:val="0"/>
        </w:rPr>
        <w:t xml:space="preserve">(mandatory item – NBR 14724, item 4.2.1.7)</w:t>
      </w: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both"/>
        <w:rPr>
          <w:b w:val="1"/>
          <w:bCs w:val="1"/>
          <w:color w:val="ee0000"/>
        </w:rPr>
      </w:pPr>
      <w:r w:rsidDel="00000000" w:rsidR="00000000" w:rsidRPr="00000000">
        <w:rPr>
          <w:rtl w:val="0"/>
        </w:rPr>
        <w:t xml:space="preserve">Tosar, Sophia. </w:t>
      </w:r>
      <w:r w:rsidDel="00000000" w:rsidR="00000000" w:rsidRPr="00000000">
        <w:rPr>
          <w:b w:val="1"/>
          <w:bCs w:val="1"/>
          <w:rtl w:val="0"/>
        </w:rPr>
        <w:t xml:space="preserve">Adoption of Generative Artificial Intelligence in Emerging Economies: Evidence of Governance and Organizational Maturity in Brazil</w:t>
      </w:r>
      <w:r w:rsidDel="00000000" w:rsidR="00000000" w:rsidRPr="00000000">
        <w:rPr>
          <w:rtl w:val="0"/>
        </w:rPr>
        <w:t xml:space="preserve">. 2025. </w:t>
      </w:r>
      <w:r w:rsidDel="00000000" w:rsidR="00000000" w:rsidRPr="00000000">
        <w:rPr>
          <w:rtl w:val="0"/>
        </w:rPr>
        <w:t xml:space="preserve">12 páginas</w:t>
      </w:r>
      <w:r w:rsidDel="00000000" w:rsidR="00000000" w:rsidRPr="00000000">
        <w:rPr>
          <w:rtl w:val="0"/>
        </w:rPr>
        <w:t xml:space="preserve">. TCC (Graduação) – Curso Engenharia de Software, Instituto de Tecnologia e Liderança, São Paulo, 2025. </w:t>
      </w:r>
      <w:r w:rsidDel="00000000" w:rsidR="00000000" w:rsidRPr="00000000">
        <w:rPr>
          <w:rtl w:val="0"/>
        </w:rPr>
      </w:r>
    </w:p>
    <w:p w:rsidR="00000000" w:rsidDel="00000000" w:rsidP="00000000" w:rsidRDefault="00000000" w:rsidRPr="00000000" w14:paraId="00000076">
      <w:pPr>
        <w:spacing w:after="0" w:line="240" w:lineRule="auto"/>
        <w:jc w:val="both"/>
        <w:rPr>
          <w:b w:val="1"/>
          <w:bCs w:val="1"/>
          <w:color w:val="ee0000"/>
        </w:rPr>
      </w:pPr>
      <w:r w:rsidDel="00000000" w:rsidR="00000000" w:rsidRPr="00000000">
        <w:rPr>
          <w:rtl w:val="0"/>
        </w:rPr>
      </w:r>
    </w:p>
    <w:p w:rsidR="00000000" w:rsidDel="00000000" w:rsidP="00000000" w:rsidRDefault="00000000" w:rsidRPr="00000000" w14:paraId="00000077">
      <w:pPr>
        <w:spacing w:after="240" w:before="240" w:line="276" w:lineRule="auto"/>
        <w:rPr/>
      </w:pPr>
      <w:r w:rsidDel="00000000" w:rsidR="00000000" w:rsidRPr="00000000">
        <w:rPr>
          <w:rtl w:val="0"/>
        </w:rPr>
        <w:t xml:space="preserve">Generative Artificial Intelligence (GenAI) is rapidly transforming business processes worldwide, but its adoption in emerging economies remains uneven and constrained by institutional, cultural, and infrastructural factors. This study investigates how Brazilian organizations incorporate GenAI and how governance, digital maturity, and regulatory conditions mediate organizational outcomes. Building on a systematic literature review and qualitative analysis of semi-structured interviews with leaders from technology, finance, consulting, education, and public administration sectors, the study identifies the mechanisms that enable or hinder GenAI adoption in contexts marked by inequality and emerging regulation.</w:t>
      </w:r>
    </w:p>
    <w:p w:rsidR="00000000" w:rsidDel="00000000" w:rsidP="00000000" w:rsidRDefault="00000000" w:rsidRPr="00000000" w14:paraId="00000078">
      <w:pPr>
        <w:spacing w:after="240" w:before="240" w:line="276" w:lineRule="auto"/>
        <w:rPr/>
      </w:pPr>
      <w:r w:rsidDel="00000000" w:rsidR="00000000" w:rsidRPr="00000000">
        <w:rPr>
          <w:rtl w:val="0"/>
        </w:rPr>
        <w:t xml:space="preserve">The results show that organizational maturity depends less on technological sophistication and more on the interplay between governance, digital literacy, data practices, and institutional constraints. Two maturity regimes were observed: a regulated cluster, characterized by cautious experimentation and strong compliance requirements, and an innovative cluster, marked by rapid prototyping and flexible learning structures. Across sectors, governance emerges as the central mechanism connecting innovation with responsible use, shaping internal rules, security practices, and managerial decision-making. Digital literacy also plays a crucial mediating role, influencing both adoption speed and the risks associated with technological dependence.</w:t>
      </w:r>
    </w:p>
    <w:p w:rsidR="00000000" w:rsidDel="00000000" w:rsidP="00000000" w:rsidRDefault="00000000" w:rsidRPr="00000000" w14:paraId="00000079">
      <w:pPr>
        <w:spacing w:after="240" w:before="240" w:line="276" w:lineRule="auto"/>
        <w:rPr/>
      </w:pPr>
      <w:r w:rsidDel="00000000" w:rsidR="00000000" w:rsidRPr="00000000">
        <w:rPr>
          <w:rtl w:val="0"/>
        </w:rPr>
        <w:t xml:space="preserve">The study contributes theoretically by advancing the socio-technical understanding of GenAI in emerging economies, highlighting governance as both a control and learning mechanism. Practically, it offers guidelines for managers and policymakers, including incremental adoption through pilot projects, structured digital training, and the development of flexible regulatory frameworks. The findings reinforce that GenAI adoption in emerging economies reflects not only technological capacity, but also institutional learning and the ability to align innovation with governance and social values</w:t>
      </w:r>
      <w:r w:rsidDel="00000000" w:rsidR="00000000" w:rsidRPr="00000000">
        <w:rPr>
          <w:rtl w:val="0"/>
        </w:rPr>
      </w:r>
    </w:p>
    <w:p w:rsidR="00000000" w:rsidDel="00000000" w:rsidP="00000000" w:rsidRDefault="00000000" w:rsidRPr="00000000" w14:paraId="0000007A">
      <w:pPr>
        <w:spacing w:after="0" w:line="240" w:lineRule="auto"/>
        <w:jc w:val="both"/>
        <w:rPr/>
      </w:pPr>
      <w:r w:rsidDel="00000000" w:rsidR="00000000" w:rsidRPr="00000000">
        <w:rPr>
          <w:rtl w:val="0"/>
        </w:rPr>
      </w:r>
    </w:p>
    <w:p w:rsidR="00000000" w:rsidDel="00000000" w:rsidP="00000000" w:rsidRDefault="00000000" w:rsidRPr="00000000" w14:paraId="0000007B">
      <w:pPr>
        <w:spacing w:after="0" w:line="240" w:lineRule="auto"/>
        <w:jc w:val="both"/>
        <w:rPr/>
      </w:pPr>
      <w:r w:rsidDel="00000000" w:rsidR="00000000" w:rsidRPr="00000000">
        <w:rPr>
          <w:rtl w:val="0"/>
        </w:rPr>
      </w:r>
    </w:p>
    <w:p w:rsidR="00000000" w:rsidDel="00000000" w:rsidP="00000000" w:rsidRDefault="00000000" w:rsidRPr="00000000" w14:paraId="0000007C">
      <w:pPr>
        <w:spacing w:after="0" w:line="240" w:lineRule="auto"/>
        <w:jc w:val="both"/>
        <w:rPr/>
      </w:pPr>
      <w:r w:rsidDel="00000000" w:rsidR="00000000" w:rsidRPr="00000000">
        <w:rPr>
          <w:b w:val="1"/>
          <w:bCs w:val="1"/>
          <w:rtl w:val="0"/>
        </w:rPr>
        <w:t xml:space="preserve">Palavras-Chave</w:t>
      </w:r>
      <w:r w:rsidDel="00000000" w:rsidR="00000000" w:rsidRPr="00000000">
        <w:rPr>
          <w:rtl w:val="0"/>
        </w:rPr>
        <w:t xml:space="preserve">: </w:t>
      </w:r>
      <w:r w:rsidDel="00000000" w:rsidR="00000000" w:rsidRPr="00000000">
        <w:rPr>
          <w:rtl w:val="0"/>
        </w:rPr>
        <w:t xml:space="preserve">generative artificial intelligence</w:t>
      </w:r>
      <w:r w:rsidDel="00000000" w:rsidR="00000000" w:rsidRPr="00000000">
        <w:rPr>
          <w:rtl w:val="0"/>
        </w:rPr>
        <w:t xml:space="preserve">; </w:t>
      </w:r>
      <w:r w:rsidDel="00000000" w:rsidR="00000000" w:rsidRPr="00000000">
        <w:rPr>
          <w:rtl w:val="0"/>
        </w:rPr>
        <w:t xml:space="preserve">emerging economies</w:t>
      </w:r>
      <w:r w:rsidDel="00000000" w:rsidR="00000000" w:rsidRPr="00000000">
        <w:rPr>
          <w:rtl w:val="0"/>
        </w:rPr>
        <w:t xml:space="preserve">; t</w:t>
      </w:r>
      <w:r w:rsidDel="00000000" w:rsidR="00000000" w:rsidRPr="00000000">
        <w:rPr>
          <w:rtl w:val="0"/>
        </w:rPr>
        <w:t xml:space="preserve">echnology governance</w:t>
      </w:r>
      <w:r w:rsidDel="00000000" w:rsidR="00000000" w:rsidRPr="00000000">
        <w:rPr>
          <w:rtl w:val="0"/>
        </w:rPr>
        <w:t xml:space="preserve">; </w:t>
      </w:r>
      <w:r w:rsidDel="00000000" w:rsidR="00000000" w:rsidRPr="00000000">
        <w:rPr>
          <w:rtl w:val="0"/>
        </w:rPr>
        <w:t xml:space="preserve">organizational maturity</w:t>
      </w:r>
      <w:r w:rsidDel="00000000" w:rsidR="00000000" w:rsidRPr="00000000">
        <w:rPr>
          <w:rtl w:val="0"/>
        </w:rPr>
        <w:t xml:space="preserve">; </w:t>
      </w:r>
      <w:r w:rsidDel="00000000" w:rsidR="00000000" w:rsidRPr="00000000">
        <w:rPr>
          <w:rtl w:val="0"/>
        </w:rPr>
        <w:t xml:space="preserve">AI adoption</w:t>
      </w:r>
      <w:r w:rsidDel="00000000" w:rsidR="00000000" w:rsidRPr="00000000">
        <w:rPr>
          <w:rtl w:val="0"/>
        </w:rPr>
        <w:t xml:space="preserve">.</w:t>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spacing w:after="0" w:line="240" w:lineRule="auto"/>
        <w:jc w:val="center"/>
        <w:rPr/>
      </w:pPr>
      <w:r w:rsidDel="00000000" w:rsidR="00000000" w:rsidRPr="00000000">
        <w:rPr>
          <w:rtl w:val="0"/>
        </w:rPr>
      </w:r>
    </w:p>
    <w:p w:rsidR="00000000" w:rsidDel="00000000" w:rsidP="00000000" w:rsidRDefault="00000000" w:rsidRPr="00000000" w14:paraId="0000008A">
      <w:pPr>
        <w:spacing w:after="0" w:line="240" w:lineRule="auto"/>
        <w:jc w:val="center"/>
        <w:rPr/>
      </w:pPr>
      <w:r w:rsidDel="00000000" w:rsidR="00000000" w:rsidRPr="00000000">
        <w:rPr>
          <w:rtl w:val="0"/>
        </w:rPr>
      </w:r>
    </w:p>
    <w:p w:rsidR="00000000" w:rsidDel="00000000" w:rsidP="00000000" w:rsidRDefault="00000000" w:rsidRPr="00000000" w14:paraId="0000008B">
      <w:pPr>
        <w:spacing w:after="0" w:line="240" w:lineRule="auto"/>
        <w:jc w:val="center"/>
        <w:rPr/>
      </w:pPr>
      <w:r w:rsidDel="00000000" w:rsidR="00000000" w:rsidRPr="00000000">
        <w:rPr>
          <w:rtl w:val="0"/>
        </w:rPr>
      </w:r>
    </w:p>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spacing w:after="0" w:line="240" w:lineRule="auto"/>
        <w:jc w:val="center"/>
        <w:rPr/>
      </w:pPr>
      <w:r w:rsidDel="00000000" w:rsidR="00000000" w:rsidRPr="00000000">
        <w:rPr>
          <w:rtl w:val="0"/>
        </w:rPr>
      </w:r>
    </w:p>
    <w:p w:rsidR="00000000" w:rsidDel="00000000" w:rsidP="00000000" w:rsidRDefault="00000000" w:rsidRPr="00000000" w14:paraId="00000091">
      <w:pPr>
        <w:spacing w:after="0" w:line="240" w:lineRule="auto"/>
        <w:jc w:val="center"/>
        <w:rPr/>
      </w:pPr>
      <w:r w:rsidDel="00000000" w:rsidR="00000000" w:rsidRPr="00000000">
        <w:rPr>
          <w:rtl w:val="0"/>
        </w:rPr>
      </w:r>
    </w:p>
    <w:p w:rsidR="00000000" w:rsidDel="00000000" w:rsidP="00000000" w:rsidRDefault="00000000" w:rsidRPr="00000000" w14:paraId="00000092">
      <w:pPr>
        <w:spacing w:after="0" w:line="240" w:lineRule="auto"/>
        <w:jc w:val="center"/>
        <w:rPr/>
      </w:pPr>
      <w:r w:rsidDel="00000000" w:rsidR="00000000" w:rsidRPr="00000000">
        <w:rPr>
          <w:rtl w:val="0"/>
        </w:rPr>
      </w:r>
    </w:p>
    <w:p w:rsidR="00000000" w:rsidDel="00000000" w:rsidP="00000000" w:rsidRDefault="00000000" w:rsidRPr="00000000" w14:paraId="00000093">
      <w:pPr>
        <w:spacing w:after="0" w:line="240" w:lineRule="auto"/>
        <w:jc w:val="center"/>
        <w:rPr/>
      </w:pPr>
      <w:r w:rsidDel="00000000" w:rsidR="00000000" w:rsidRPr="00000000">
        <w:rPr>
          <w:rtl w:val="0"/>
        </w:rPr>
      </w:r>
    </w:p>
    <w:p w:rsidR="00000000" w:rsidDel="00000000" w:rsidP="00000000" w:rsidRDefault="00000000" w:rsidRPr="00000000" w14:paraId="00000094">
      <w:pPr>
        <w:spacing w:after="0" w:line="240" w:lineRule="auto"/>
        <w:jc w:val="center"/>
        <w:rPr/>
      </w:pPr>
      <w:r w:rsidDel="00000000" w:rsidR="00000000" w:rsidRPr="00000000">
        <w:rPr>
          <w:rtl w:val="0"/>
        </w:rPr>
      </w:r>
    </w:p>
    <w:p w:rsidR="00000000" w:rsidDel="00000000" w:rsidP="00000000" w:rsidRDefault="00000000" w:rsidRPr="00000000" w14:paraId="00000095">
      <w:pPr>
        <w:spacing w:line="240" w:lineRule="auto"/>
        <w:jc w:val="center"/>
        <w:rPr/>
      </w:pPr>
      <w:r w:rsidDel="00000000" w:rsidR="00000000" w:rsidRPr="00000000">
        <w:rPr>
          <w:rtl w:val="0"/>
        </w:rPr>
      </w:r>
    </w:p>
    <w:p w:rsidR="00000000" w:rsidDel="00000000" w:rsidP="00000000" w:rsidRDefault="00000000" w:rsidRPr="00000000" w14:paraId="00000096">
      <w:pPr>
        <w:spacing w:line="240" w:lineRule="auto"/>
        <w:jc w:val="center"/>
        <w:rPr/>
      </w:pPr>
      <w:r w:rsidDel="00000000" w:rsidR="00000000" w:rsidRPr="00000000">
        <w:rPr>
          <w:rtl w:val="0"/>
        </w:rPr>
      </w:r>
    </w:p>
    <w:p w:rsidR="00000000" w:rsidDel="00000000" w:rsidP="00000000" w:rsidRDefault="00000000" w:rsidRPr="00000000" w14:paraId="00000097">
      <w:pPr>
        <w:pStyle w:val="Heading3"/>
        <w:spacing w:line="360" w:lineRule="auto"/>
        <w:rPr/>
      </w:pPr>
      <w:r w:rsidDel="00000000" w:rsidR="00000000" w:rsidRPr="00000000">
        <w:rPr>
          <w:rtl w:val="0"/>
        </w:rPr>
        <w:t xml:space="preserve">Abstract </w:t>
      </w:r>
      <w:r w:rsidDel="00000000" w:rsidR="00000000" w:rsidRPr="00000000">
        <w:rPr>
          <w:color w:val="ee0000"/>
          <w:rtl w:val="0"/>
        </w:rPr>
        <w:t xml:space="preserve">(mandatory item – NBR 14724, item 4.2.1.8)</w:t>
      </w:r>
      <w:r w:rsidDel="00000000" w:rsidR="00000000" w:rsidRPr="00000000">
        <w:rPr>
          <w:rtl w:val="0"/>
        </w:rPr>
      </w:r>
    </w:p>
    <w:p w:rsidR="00000000" w:rsidDel="00000000" w:rsidP="00000000" w:rsidRDefault="00000000" w:rsidRPr="00000000" w14:paraId="00000098">
      <w:pPr>
        <w:spacing w:after="0" w:line="240" w:lineRule="auto"/>
        <w:jc w:val="center"/>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pPr>
      <w:r w:rsidDel="00000000" w:rsidR="00000000" w:rsidRPr="00000000">
        <w:rPr>
          <w:rtl w:val="0"/>
        </w:rPr>
        <w:t xml:space="preserve">Tosar, Sophia.</w:t>
      </w:r>
      <w:r w:rsidDel="00000000" w:rsidR="00000000" w:rsidRPr="00000000">
        <w:rPr>
          <w:b w:val="1"/>
          <w:bCs w:val="1"/>
          <w:rtl w:val="0"/>
        </w:rPr>
        <w:t xml:space="preserve">Adoption of Generative Artificial Intelligence in Emerging Economies: Evidence of Governance and Organizational Maturity in Brazil</w:t>
      </w:r>
      <w:r w:rsidDel="00000000" w:rsidR="00000000" w:rsidRPr="00000000">
        <w:rPr>
          <w:rtl w:val="0"/>
        </w:rPr>
        <w:t xml:space="preserve">. 2025.12 pages. Final course project (Bachelor) – Course Software Engineering, Institute of Technology and Leadership, São Paulo, 2025.</w:t>
      </w:r>
    </w:p>
    <w:p w:rsidR="00000000" w:rsidDel="00000000" w:rsidP="00000000" w:rsidRDefault="00000000" w:rsidRPr="00000000" w14:paraId="0000009A">
      <w:pPr>
        <w:spacing w:after="0" w:line="240" w:lineRule="auto"/>
        <w:jc w:val="center"/>
        <w:rPr>
          <w:highlight w:val="yellow"/>
        </w:rPr>
      </w:pPr>
      <w:r w:rsidDel="00000000" w:rsidR="00000000" w:rsidRPr="00000000">
        <w:rPr>
          <w:rtl w:val="0"/>
        </w:rPr>
      </w:r>
    </w:p>
    <w:p w:rsidR="00000000" w:rsidDel="00000000" w:rsidP="00000000" w:rsidRDefault="00000000" w:rsidRPr="00000000" w14:paraId="0000009B">
      <w:pPr>
        <w:spacing w:after="240" w:before="240" w:line="276" w:lineRule="auto"/>
        <w:rPr/>
      </w:pPr>
      <w:r w:rsidDel="00000000" w:rsidR="00000000" w:rsidRPr="00000000">
        <w:rPr>
          <w:rtl w:val="0"/>
        </w:rPr>
        <w:t xml:space="preserve">Generative Artificial Intelligence (GenAI) is rapidly transforming business processes worldwide, but its adoption in emerging economies remains uneven and constrained by institutional, cultural, and infrastructural factors. This study investigates how Brazilian organizations incorporate GenAI and how governance, digital maturity, and regulatory conditions mediate organizational outcomes. Building on a systematic literature review and qualitative analysis of semi-structured interviews with leaders from technology, finance, consulting, education, and public administration sectors, the study identifies the mechanisms that enable or hinder GenAI adoption in contexts marked by inequality and emerging regulation.</w:t>
      </w:r>
    </w:p>
    <w:p w:rsidR="00000000" w:rsidDel="00000000" w:rsidP="00000000" w:rsidRDefault="00000000" w:rsidRPr="00000000" w14:paraId="0000009C">
      <w:pPr>
        <w:spacing w:after="240" w:before="240" w:line="276" w:lineRule="auto"/>
        <w:rPr/>
      </w:pPr>
      <w:r w:rsidDel="00000000" w:rsidR="00000000" w:rsidRPr="00000000">
        <w:rPr>
          <w:rtl w:val="0"/>
        </w:rPr>
        <w:t xml:space="preserve">The results show that organizational maturity depends less on technological sophistication and more on the interplay between governance, digital literacy, data practices, and institutional constraints. Two maturity regimes were observed: a regulated cluster, characterized by cautious experimentation and strong compliance requirements, and an innovative cluster, marked by rapid prototyping and flexible learning structures. Across sectors, governance emerges as the central mechanism connecting innovation with responsible use, shaping internal rules, security practices, and managerial decision-making. Digital literacy also plays a crucial mediating role, influencing both adoption speed and the risks associated with technological dependence.</w:t>
      </w:r>
    </w:p>
    <w:p w:rsidR="00000000" w:rsidDel="00000000" w:rsidP="00000000" w:rsidRDefault="00000000" w:rsidRPr="00000000" w14:paraId="0000009D">
      <w:pPr>
        <w:spacing w:after="240" w:before="240" w:line="276" w:lineRule="auto"/>
        <w:rPr>
          <w:highlight w:val="yellow"/>
        </w:rPr>
      </w:pPr>
      <w:r w:rsidDel="00000000" w:rsidR="00000000" w:rsidRPr="00000000">
        <w:rPr>
          <w:rtl w:val="0"/>
        </w:rPr>
        <w:t xml:space="preserve">The study contributes theoretically by advancing the socio-technical understanding of GenAI in emerging economies, highlighting governance as both a control and learning mechanism. Practically, it offers guidelines for managers and policymakers, including incremental adoption through pilot projects, structured digital training, and the development of flexible regulatory frameworks. The findings reinforce that GenAI adoption in emerging economies reflects not only technological capacity, but also institutional learning and the ability to align innovation with governance and social values</w:t>
      </w:r>
      <w:r w:rsidDel="00000000" w:rsidR="00000000" w:rsidRPr="00000000">
        <w:rPr>
          <w:rtl w:val="0"/>
        </w:rPr>
      </w:r>
    </w:p>
    <w:p w:rsidR="00000000" w:rsidDel="00000000" w:rsidP="00000000" w:rsidRDefault="00000000" w:rsidRPr="00000000" w14:paraId="0000009E">
      <w:pPr>
        <w:spacing w:after="0" w:line="240" w:lineRule="auto"/>
        <w:jc w:val="both"/>
        <w:rPr>
          <w:highlight w:val="yellow"/>
        </w:rPr>
      </w:pPr>
      <w:r w:rsidDel="00000000" w:rsidR="00000000" w:rsidRPr="00000000">
        <w:rPr>
          <w:rtl w:val="0"/>
        </w:rPr>
      </w:r>
    </w:p>
    <w:p w:rsidR="00000000" w:rsidDel="00000000" w:rsidP="00000000" w:rsidRDefault="00000000" w:rsidRPr="00000000" w14:paraId="0000009F">
      <w:pPr>
        <w:spacing w:after="0" w:line="240" w:lineRule="auto"/>
        <w:jc w:val="both"/>
        <w:rPr>
          <w:highlight w:val="yellow"/>
        </w:rPr>
      </w:pPr>
      <w:r w:rsidDel="00000000" w:rsidR="00000000" w:rsidRPr="00000000">
        <w:rPr>
          <w:rtl w:val="0"/>
        </w:rPr>
      </w:r>
    </w:p>
    <w:p w:rsidR="00000000" w:rsidDel="00000000" w:rsidP="00000000" w:rsidRDefault="00000000" w:rsidRPr="00000000" w14:paraId="000000A0">
      <w:pPr>
        <w:spacing w:after="0" w:line="240" w:lineRule="auto"/>
        <w:jc w:val="both"/>
        <w:rPr/>
      </w:pPr>
      <w:r w:rsidDel="00000000" w:rsidR="00000000" w:rsidRPr="00000000">
        <w:rPr>
          <w:rtl w:val="0"/>
        </w:rPr>
      </w:r>
    </w:p>
    <w:p w:rsidR="00000000" w:rsidDel="00000000" w:rsidP="00000000" w:rsidRDefault="00000000" w:rsidRPr="00000000" w14:paraId="000000A1">
      <w:pPr>
        <w:spacing w:after="0" w:line="240" w:lineRule="auto"/>
        <w:jc w:val="both"/>
        <w:rPr>
          <w:b w:val="1"/>
          <w:bCs w:val="1"/>
          <w:highlight w:val="yellow"/>
        </w:rPr>
      </w:pPr>
      <w:r w:rsidDel="00000000" w:rsidR="00000000" w:rsidRPr="00000000">
        <w:rPr>
          <w:b w:val="1"/>
          <w:bCs w:val="1"/>
          <w:rtl w:val="0"/>
        </w:rPr>
        <w:t xml:space="preserve">Palavras-Chave</w:t>
      </w:r>
      <w:r w:rsidDel="00000000" w:rsidR="00000000" w:rsidRPr="00000000">
        <w:rPr>
          <w:rtl w:val="0"/>
        </w:rPr>
        <w:t xml:space="preserve">: generative artificial intelligence; emerging economies; technology governance; organizational maturity; AI adoption.</w:t>
      </w:r>
      <w:r w:rsidDel="00000000" w:rsidR="00000000" w:rsidRPr="00000000">
        <w:rPr>
          <w:rtl w:val="0"/>
        </w:rPr>
      </w:r>
    </w:p>
    <w:p w:rsidR="00000000" w:rsidDel="00000000" w:rsidP="00000000" w:rsidRDefault="00000000" w:rsidRPr="00000000" w14:paraId="000000A2">
      <w:pPr>
        <w:spacing w:after="0" w:line="240" w:lineRule="auto"/>
        <w:jc w:val="center"/>
        <w:rPr/>
      </w:pPr>
      <w:r w:rsidDel="00000000" w:rsidR="00000000" w:rsidRPr="00000000">
        <w:rPr>
          <w:rtl w:val="0"/>
        </w:rPr>
      </w:r>
    </w:p>
    <w:p w:rsidR="00000000" w:rsidDel="00000000" w:rsidP="00000000" w:rsidRDefault="00000000" w:rsidRPr="00000000" w14:paraId="000000A3">
      <w:pPr>
        <w:spacing w:after="0" w:line="240" w:lineRule="auto"/>
        <w:jc w:val="center"/>
        <w:rPr/>
      </w:pPr>
      <w:r w:rsidDel="00000000" w:rsidR="00000000" w:rsidRPr="00000000">
        <w:rPr>
          <w:rtl w:val="0"/>
        </w:rPr>
      </w:r>
    </w:p>
    <w:p w:rsidR="00000000" w:rsidDel="00000000" w:rsidP="00000000" w:rsidRDefault="00000000" w:rsidRPr="00000000" w14:paraId="000000A4">
      <w:pPr>
        <w:spacing w:after="0" w:line="240" w:lineRule="auto"/>
        <w:jc w:val="center"/>
        <w:rPr/>
      </w:pPr>
      <w:r w:rsidDel="00000000" w:rsidR="00000000" w:rsidRPr="00000000">
        <w:rPr>
          <w:rtl w:val="0"/>
        </w:rPr>
      </w:r>
    </w:p>
    <w:p w:rsidR="00000000" w:rsidDel="00000000" w:rsidP="00000000" w:rsidRDefault="00000000" w:rsidRPr="00000000" w14:paraId="000000A5">
      <w:pPr>
        <w:spacing w:after="0" w:line="240" w:lineRule="auto"/>
        <w:jc w:val="center"/>
        <w:rPr/>
      </w:pPr>
      <w:r w:rsidDel="00000000" w:rsidR="00000000" w:rsidRPr="00000000">
        <w:rPr>
          <w:rtl w:val="0"/>
        </w:rPr>
      </w:r>
    </w:p>
    <w:p w:rsidR="00000000" w:rsidDel="00000000" w:rsidP="00000000" w:rsidRDefault="00000000" w:rsidRPr="00000000" w14:paraId="000000A6">
      <w:pPr>
        <w:spacing w:after="0" w:line="240" w:lineRule="auto"/>
        <w:jc w:val="center"/>
        <w:rPr/>
      </w:pPr>
      <w:r w:rsidDel="00000000" w:rsidR="00000000" w:rsidRPr="00000000">
        <w:rPr>
          <w:rtl w:val="0"/>
        </w:rPr>
      </w:r>
    </w:p>
    <w:p w:rsidR="00000000" w:rsidDel="00000000" w:rsidP="00000000" w:rsidRDefault="00000000" w:rsidRPr="00000000" w14:paraId="000000A7">
      <w:pPr>
        <w:spacing w:after="0" w:line="240" w:lineRule="auto"/>
        <w:jc w:val="center"/>
        <w:rPr/>
      </w:pPr>
      <w:r w:rsidDel="00000000" w:rsidR="00000000" w:rsidRPr="00000000">
        <w:rPr>
          <w:rtl w:val="0"/>
        </w:rPr>
      </w:r>
    </w:p>
    <w:p w:rsidR="00000000" w:rsidDel="00000000" w:rsidP="00000000" w:rsidRDefault="00000000" w:rsidRPr="00000000" w14:paraId="000000A8">
      <w:pPr>
        <w:spacing w:after="0" w:line="240" w:lineRule="auto"/>
        <w:jc w:val="center"/>
        <w:rPr/>
      </w:pPr>
      <w:r w:rsidDel="00000000" w:rsidR="00000000" w:rsidRPr="00000000">
        <w:rPr>
          <w:rtl w:val="0"/>
        </w:rPr>
      </w:r>
    </w:p>
    <w:p w:rsidR="00000000" w:rsidDel="00000000" w:rsidP="00000000" w:rsidRDefault="00000000" w:rsidRPr="00000000" w14:paraId="000000A9">
      <w:pPr>
        <w:spacing w:after="0" w:line="240" w:lineRule="auto"/>
        <w:jc w:val="center"/>
        <w:rPr/>
      </w:pPr>
      <w:r w:rsidDel="00000000" w:rsidR="00000000" w:rsidRPr="00000000">
        <w:rPr>
          <w:rtl w:val="0"/>
        </w:rPr>
      </w:r>
    </w:p>
    <w:p w:rsidR="00000000" w:rsidDel="00000000" w:rsidP="00000000" w:rsidRDefault="00000000" w:rsidRPr="00000000" w14:paraId="000000AA">
      <w:pPr>
        <w:spacing w:after="0" w:line="240" w:lineRule="auto"/>
        <w:jc w:val="center"/>
        <w:rPr/>
      </w:pPr>
      <w:r w:rsidDel="00000000" w:rsidR="00000000" w:rsidRPr="00000000">
        <w:rPr>
          <w:rtl w:val="0"/>
        </w:rPr>
      </w:r>
    </w:p>
    <w:p w:rsidR="00000000" w:rsidDel="00000000" w:rsidP="00000000" w:rsidRDefault="00000000" w:rsidRPr="00000000" w14:paraId="000000AB">
      <w:pPr>
        <w:spacing w:after="0" w:line="240" w:lineRule="auto"/>
        <w:jc w:val="center"/>
        <w:rPr/>
      </w:pPr>
      <w:r w:rsidDel="00000000" w:rsidR="00000000" w:rsidRPr="00000000">
        <w:rPr>
          <w:rtl w:val="0"/>
        </w:rPr>
      </w:r>
    </w:p>
    <w:p w:rsidR="00000000" w:rsidDel="00000000" w:rsidP="00000000" w:rsidRDefault="00000000" w:rsidRPr="00000000" w14:paraId="000000AC">
      <w:pPr>
        <w:spacing w:after="0" w:line="240" w:lineRule="auto"/>
        <w:jc w:val="center"/>
        <w:rPr/>
      </w:pPr>
      <w:r w:rsidDel="00000000" w:rsidR="00000000" w:rsidRPr="00000000">
        <w:rPr>
          <w:rtl w:val="0"/>
        </w:rPr>
      </w:r>
    </w:p>
    <w:p w:rsidR="00000000" w:rsidDel="00000000" w:rsidP="00000000" w:rsidRDefault="00000000" w:rsidRPr="00000000" w14:paraId="000000AD">
      <w:pPr>
        <w:spacing w:after="0" w:line="240" w:lineRule="auto"/>
        <w:jc w:val="center"/>
        <w:rPr/>
      </w:pPr>
      <w:r w:rsidDel="00000000" w:rsidR="00000000" w:rsidRPr="00000000">
        <w:rPr>
          <w:rtl w:val="0"/>
        </w:rPr>
      </w:r>
    </w:p>
    <w:p w:rsidR="00000000" w:rsidDel="00000000" w:rsidP="00000000" w:rsidRDefault="00000000" w:rsidRPr="00000000" w14:paraId="000000AE">
      <w:pPr>
        <w:spacing w:after="0" w:line="240" w:lineRule="auto"/>
        <w:jc w:val="center"/>
        <w:rPr/>
      </w:pPr>
      <w:r w:rsidDel="00000000" w:rsidR="00000000" w:rsidRPr="00000000">
        <w:rPr>
          <w:rtl w:val="0"/>
        </w:rPr>
      </w:r>
    </w:p>
    <w:p w:rsidR="00000000" w:rsidDel="00000000" w:rsidP="00000000" w:rsidRDefault="00000000" w:rsidRPr="00000000" w14:paraId="000000AF">
      <w:pPr>
        <w:spacing w:after="0" w:line="240" w:lineRule="auto"/>
        <w:jc w:val="cente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spacing w:line="360" w:lineRule="auto"/>
        <w:rPr/>
      </w:pPr>
      <w:r w:rsidDel="00000000" w:rsidR="00000000" w:rsidRPr="00000000">
        <w:rPr>
          <w:rtl w:val="0"/>
        </w:rPr>
        <w:t xml:space="preserve">Summary </w:t>
      </w:r>
      <w:r w:rsidDel="00000000" w:rsidR="00000000" w:rsidRPr="00000000">
        <w:rPr>
          <w:color w:val="ee0000"/>
          <w:rtl w:val="0"/>
        </w:rPr>
        <w:t xml:space="preserve">(mandatory item – NBR14724, item 4.2.1.13; NBR 6027)</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dt>
      <w:sdtPr>
        <w:id w:val="830585780"/>
        <w:docPartObj>
          <w:docPartGallery w:val="Table of Contents"/>
          <w:docPartUnique w:val="1"/>
        </w:docPartObj>
      </w:sdtPr>
      <w:sdtContent>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i w:val="0"/>
              <w:iCs w:val="0"/>
              <w:smallCaps w:val="0"/>
              <w:strike w:val="0"/>
              <w:color w:val="000000"/>
              <w:u w:val="none"/>
              <w:vertAlign w:val="baseline"/>
            </w:rPr>
          </w:pPr>
          <w:r w:rsidDel="00000000" w:rsidR="00000000" w:rsidRPr="00000000">
            <w:fldChar w:fldCharType="begin"/>
            <w:instrText xml:space="preserve"> TOC \h \u \z \t "Heading 1,1,Heading 2,2,"</w:instrText>
            <w:fldChar w:fldCharType="separate"/>
          </w:r>
          <w:hyperlink w:anchor="_heading=h.29ey2lraawap">
            <w:r w:rsidDel="00000000" w:rsidR="00000000" w:rsidRPr="00000000">
              <w:rPr>
                <w:i w:val="0"/>
                <w:iCs w:val="0"/>
                <w:smallCaps w:val="0"/>
                <w:strike w:val="0"/>
                <w:color w:val="000000"/>
                <w:u w:val="none"/>
                <w:vertAlign w:val="baseline"/>
                <w:rtl w:val="0"/>
              </w:rPr>
              <w:t xml:space="preserve">1. </w:t>
            </w:r>
          </w:hyperlink>
          <w:r w:rsidDel="00000000" w:rsidR="00000000" w:rsidRPr="00000000">
            <w:rPr>
              <w:i w:val="0"/>
              <w:iCs w:val="0"/>
              <w:smallCaps w:val="0"/>
              <w:strike w:val="0"/>
              <w:color w:val="000000"/>
              <w:u w:val="none"/>
              <w:vertAlign w:val="baseline"/>
              <w:rtl w:val="0"/>
            </w:rPr>
            <w:tab/>
          </w:r>
          <w:r w:rsidDel="00000000" w:rsidR="00000000" w:rsidRPr="00000000">
            <w:fldChar w:fldCharType="begin"/>
            <w:instrText xml:space="preserve"> PAGEREF _heading=h.29ey2lraawap \h </w:instrText>
            <w:fldChar w:fldCharType="separate"/>
          </w:r>
          <w:r w:rsidDel="00000000" w:rsidR="00000000" w:rsidRPr="00000000">
            <w:rPr>
              <w:i w:val="0"/>
              <w:iCs w:val="0"/>
              <w:smallCaps w:val="0"/>
              <w:strike w:val="0"/>
              <w:color w:val="000000"/>
              <w:u w:val="none"/>
              <w:vertAlign w:val="baseline"/>
              <w:rtl w:val="0"/>
            </w:rPr>
            <w:t xml:space="preserve">Introduction </w:t>
          </w:r>
          <w:r w:rsidDel="00000000" w:rsidR="00000000" w:rsidRPr="00000000">
            <w:fldChar w:fldCharType="end"/>
          </w:r>
          <w:r w:rsidDel="00000000" w:rsidR="00000000" w:rsidRPr="00000000">
            <w:rPr>
              <w:i w:val="0"/>
              <w:iCs w:val="0"/>
              <w:smallCaps w:val="0"/>
              <w:strike w:val="0"/>
              <w:color w:val="000000"/>
              <w:u w:val="none"/>
              <w:vertAlign w:val="baseline"/>
              <w:rtl w:val="0"/>
            </w:rPr>
            <w:tab/>
          </w:r>
          <w:r w:rsidDel="00000000" w:rsidR="00000000" w:rsidRPr="00000000">
            <w:rPr>
              <w:color w:val="000000"/>
              <w:u w:val="none"/>
              <w:rtl w:val="0"/>
            </w:rPr>
            <w:t xml:space="preserve">9</w:t>
          </w:r>
          <w:r w:rsidDel="00000000" w:rsidR="00000000" w:rsidRPr="00000000">
            <w:fldChar w:fldCharType="begin"/>
            <w:instrText xml:space="preserve"> HYPERLINK \l "_heading=h.29ey2lraawap" </w:instrText>
            <w:fldChar w:fldCharType="separate"/>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i w:val="0"/>
              <w:iCs w:val="0"/>
              <w:smallCaps w:val="0"/>
              <w:strike w:val="0"/>
              <w:color w:val="000000"/>
              <w:u w:val="none"/>
              <w:vertAlign w:val="baseline"/>
            </w:rPr>
          </w:pPr>
          <w:r w:rsidDel="00000000" w:rsidR="00000000" w:rsidRPr="00000000">
            <w:fldChar w:fldCharType="end"/>
          </w:r>
          <w:hyperlink w:anchor="_heading=h.3yfwi66nkz14">
            <w:r w:rsidDel="00000000" w:rsidR="00000000" w:rsidRPr="00000000">
              <w:rPr>
                <w:i w:val="0"/>
                <w:iCs w:val="0"/>
                <w:smallCaps w:val="0"/>
                <w:strike w:val="0"/>
                <w:color w:val="000000"/>
                <w:u w:val="none"/>
                <w:vertAlign w:val="baseline"/>
                <w:rtl w:val="0"/>
              </w:rPr>
              <w:t xml:space="preserve">2. </w:t>
            </w:r>
          </w:hyperlink>
          <w:r w:rsidDel="00000000" w:rsidR="00000000" w:rsidRPr="00000000">
            <w:rPr>
              <w:i w:val="0"/>
              <w:iCs w:val="0"/>
              <w:smallCaps w:val="0"/>
              <w:strike w:val="0"/>
              <w:color w:val="000000"/>
              <w:u w:val="none"/>
              <w:vertAlign w:val="baseline"/>
              <w:rtl w:val="0"/>
            </w:rPr>
            <w:tab/>
          </w:r>
          <w:r w:rsidDel="00000000" w:rsidR="00000000" w:rsidRPr="00000000">
            <w:rPr>
              <w:rtl w:val="0"/>
            </w:rPr>
            <w:t xml:space="preserve">Theoretical Framework</w:t>
            <w:tab/>
            <w:t xml:space="preserve">10</w:t>
          </w:r>
          <w:r w:rsidDel="00000000" w:rsidR="00000000" w:rsidRPr="00000000">
            <w:fldChar w:fldCharType="begin"/>
            <w:instrText xml:space="preserve"> HYPERLINK \l "_heading=h.zi6zuc9823gr" </w:instrText>
            <w:fldChar w:fldCharType="separate"/>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fldChar w:fldCharType="end"/>
          </w:r>
          <w:hyperlink w:anchor="_heading=h.sofhnx55qpgl">
            <w:r w:rsidDel="00000000" w:rsidR="00000000" w:rsidRPr="00000000">
              <w:rPr>
                <w:i w:val="0"/>
                <w:iCs w:val="0"/>
                <w:smallCaps w:val="0"/>
                <w:strike w:val="0"/>
                <w:color w:val="000000"/>
                <w:u w:val="none"/>
                <w:vertAlign w:val="baseline"/>
                <w:rtl w:val="0"/>
              </w:rPr>
              <w:t xml:space="preserve">3. </w:t>
            </w:r>
          </w:hyperlink>
          <w:r w:rsidDel="00000000" w:rsidR="00000000" w:rsidRPr="00000000">
            <w:rPr>
              <w:i w:val="0"/>
              <w:iCs w:val="0"/>
              <w:smallCaps w:val="0"/>
              <w:strike w:val="0"/>
              <w:color w:val="000000"/>
              <w:u w:val="none"/>
              <w:vertAlign w:val="baseline"/>
              <w:rtl w:val="0"/>
            </w:rPr>
            <w:tab/>
          </w:r>
          <w:r w:rsidDel="00000000" w:rsidR="00000000" w:rsidRPr="00000000">
            <w:rPr>
              <w:rtl w:val="0"/>
            </w:rPr>
            <w:t xml:space="preserve">Methodology</w:t>
            <w:tab/>
            <w:t xml:space="preserve">11</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4.</w:t>
            <w:tab/>
            <w:t xml:space="preserve">Results</w:t>
            <w:tab/>
            <w:t xml:space="preserve">12</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5. </w:t>
            <w:tab/>
            <w:t xml:space="preserve">Analysis and Discussion of Results</w:t>
            <w:tab/>
            <w:t xml:space="preserve">12</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6.</w:t>
            <w:tab/>
            <w:t xml:space="preserve">Conclusion</w:t>
            <w:tab/>
            <w:t xml:space="preserve">13</w:t>
          </w:r>
          <w:r w:rsidDel="00000000" w:rsidR="00000000" w:rsidRPr="00000000">
            <w:fldChar w:fldCharType="begin"/>
            <w:instrText xml:space="preserve"> HYPERLINK \l "_heading=h.sofhnx55qpgl" </w:instrText>
            <w:fldChar w:fldCharType="separate"/>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fldChar w:fldCharType="end"/>
          </w:r>
          <w:hyperlink w:anchor="_heading=h.ejdxllrcw30r">
            <w:r w:rsidDel="00000000" w:rsidR="00000000" w:rsidRPr="00000000">
              <w:rPr>
                <w:i w:val="0"/>
                <w:iCs w:val="0"/>
                <w:smallCaps w:val="0"/>
                <w:strike w:val="0"/>
                <w:color w:val="000000"/>
                <w:u w:val="none"/>
                <w:vertAlign w:val="baseline"/>
                <w:rtl w:val="0"/>
              </w:rPr>
              <w:t xml:space="preserve">References</w:t>
            </w:r>
          </w:hyperlink>
          <w:r w:rsidDel="00000000" w:rsidR="00000000" w:rsidRPr="00000000">
            <w:rPr>
              <w:i w:val="0"/>
              <w:iCs w:val="0"/>
              <w:smallCaps w:val="0"/>
              <w:strike w:val="0"/>
              <w:color w:val="000000"/>
              <w:sz w:val="24"/>
              <w:szCs w:val="24"/>
              <w:u w:val="none"/>
              <w:vertAlign w:val="baseline"/>
              <w:rtl w:val="0"/>
            </w:rPr>
            <w:tab/>
          </w:r>
          <w:r w:rsidDel="00000000" w:rsidR="00000000" w:rsidRPr="00000000">
            <w:fldChar w:fldCharType="begin"/>
            <w:instrText xml:space="preserve"> PAGEREF _heading=h.ejdxllrcw30r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4</w:t>
          </w:r>
          <w:r w:rsidDel="00000000" w:rsidR="00000000" w:rsidRPr="00000000">
            <w:fldChar w:fldCharType="begin"/>
            <w:instrText xml:space="preserve"> HYPERLINK \l "_heading=h.ejdxllrcw30r"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HYPERLINK \l "_heading=h.dbrb173stume" </w:instrText>
            <w:fldChar w:fldCharType="separate"/>
          </w:r>
          <w:r w:rsidDel="00000000" w:rsidR="00000000" w:rsidRPr="00000000">
            <w:rPr>
              <w:rtl w:val="0"/>
            </w:rPr>
          </w:r>
        </w:p>
        <w:p w:rsidR="00000000" w:rsidDel="00000000" w:rsidP="00000000" w:rsidRDefault="00000000" w:rsidRPr="00000000" w14:paraId="000000BF">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0">
      <w:pPr>
        <w:spacing w:after="0" w:line="240" w:lineRule="auto"/>
        <w:jc w:val="center"/>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C1">
      <w:pPr>
        <w:pStyle w:val="Heading1"/>
        <w:numPr>
          <w:ilvl w:val="0"/>
          <w:numId w:val="1"/>
        </w:numPr>
        <w:ind w:left="284" w:hanging="284"/>
        <w:rPr/>
      </w:pPr>
      <w:bookmarkStart w:colFirst="0" w:colLast="0" w:name="_heading=h.29ey2lraawap" w:id="2"/>
      <w:bookmarkEnd w:id="2"/>
      <w:r w:rsidDel="00000000" w:rsidR="00000000" w:rsidRPr="00000000">
        <w:rPr>
          <w:rtl w:val="0"/>
        </w:rPr>
        <w:t xml:space="preserve">Introduction​ </w:t>
      </w:r>
      <w:r w:rsidDel="00000000" w:rsidR="00000000" w:rsidRPr="00000000">
        <w:rPr>
          <w:rtl w:val="0"/>
        </w:rPr>
      </w:r>
    </w:p>
    <w:p w:rsidR="00000000" w:rsidDel="00000000" w:rsidP="00000000" w:rsidRDefault="00000000" w:rsidRPr="00000000" w14:paraId="000000C2">
      <w:pPr>
        <w:spacing w:after="240" w:before="240" w:line="276" w:lineRule="auto"/>
        <w:rPr/>
      </w:pPr>
      <w:r w:rsidDel="00000000" w:rsidR="00000000" w:rsidRPr="00000000">
        <w:rPr>
          <w:rtl w:val="0"/>
        </w:rPr>
        <w:t xml:space="preserve">Generative Artificial Intelligence (GenAI) is a technological innovation that is transforming sectors of the global economy, affecting productivity, content creation, and process automation. In advanced economies, its dissemination is facilitated by solid digital infrastructures, available capital, and consolidated regulatory frameworks (Korinek &amp; Stiglitz, 2021). In contrast, emerging economies face challenges such as fragmented infrastructure, lack of data standardization, inequality in professional training, and regulatory uncertainty, which limit the speed and depth of adoption (Kshetri, 2020). This study aims to shed light on how Brazilian organizations incorporate generative AI, considering institutional and technical conditions, as well as its organizational and strategic effects.</w:t>
      </w:r>
    </w:p>
    <w:p w:rsidR="00000000" w:rsidDel="00000000" w:rsidP="00000000" w:rsidRDefault="00000000" w:rsidRPr="00000000" w14:paraId="000000C3">
      <w:pPr>
        <w:spacing w:after="240" w:before="240" w:line="276" w:lineRule="auto"/>
        <w:rPr/>
      </w:pPr>
      <w:r w:rsidDel="00000000" w:rsidR="00000000" w:rsidRPr="00000000">
        <w:rPr>
          <w:rtl w:val="0"/>
        </w:rPr>
        <w:t xml:space="preserve">Recent literature has primarily examined the technical performance of GenAI and its application in digitally mature environments, often emphasizing efficiency gains, automation potential, and improvements in marketing, customer interaction, and product development (Kopalle et al., 2022; Armand &amp; Lamiya, 2023). Although these studies highlight the transformative capabilities of GenAI, they pay limited attention to how adoption occurs in corporate settings marked by regulatory constraints, uneven digital maturity, and institutional uncertainty. Research also tends to underexplore the governance mechanisms required to ensure responsible and ethical use of GenAI within organizations (Kumar et al., 2024) and offers little insight into how public policies, national AI strategies, and regulatory frameworks shape organizational decisions in emerging economies (Demaidi, 2023). These gaps suggest the need for studies that examine GenAI adoption beyond technical performance, incorporating institutional, organizational, and regulatory dimensions, particularly in contexts with structural inequalities and evolving governance standards.</w:t>
      </w:r>
    </w:p>
    <w:p w:rsidR="00000000" w:rsidDel="00000000" w:rsidP="00000000" w:rsidRDefault="00000000" w:rsidRPr="00000000" w14:paraId="000000C4">
      <w:pPr>
        <w:spacing w:after="240" w:before="240" w:line="276" w:lineRule="auto"/>
        <w:rPr/>
      </w:pPr>
      <w:r w:rsidDel="00000000" w:rsidR="00000000" w:rsidRPr="00000000">
        <w:rPr>
          <w:rtl w:val="0"/>
        </w:rPr>
        <w:t xml:space="preserve">The goal of the paper is to fill these gaps by analyzing the adoption of GenAI in emerging economies and identifying barriers and opportunities. Therefore,  the following research questions are addressed: RQ1 How are companies in emerging economies adopting generative AI? And RQ2 What are the main barriers and opportunities? Specifically, we investigate the social, economic, and cultural factors that influence adoption, the perceived organizational, technical, and regulatory barriers, effective practices and governance mechanisms, and how regulation and public policies shape corporate strategies.</w:t>
      </w:r>
    </w:p>
    <w:p w:rsidR="00000000" w:rsidDel="00000000" w:rsidP="00000000" w:rsidRDefault="00000000" w:rsidRPr="00000000" w14:paraId="000000C5">
      <w:pPr>
        <w:spacing w:after="240" w:before="240" w:line="276" w:lineRule="auto"/>
        <w:rPr/>
      </w:pPr>
      <w:r w:rsidDel="00000000" w:rsidR="00000000" w:rsidRPr="00000000">
        <w:rPr>
          <w:rtl w:val="0"/>
        </w:rPr>
        <w:t xml:space="preserve">The relevance of this study is related to three dimensions: academic, social, and practical. Academically, it expands the understanding of technological diffusion in specific contexts. Socially, it contributes to reducing technological inequalities through training and inclusive policies. Practically, it offers guidelines for organizations to balance experimentation and governance.</w:t>
      </w:r>
    </w:p>
    <w:p w:rsidR="00000000" w:rsidDel="00000000" w:rsidP="00000000" w:rsidRDefault="00000000" w:rsidRPr="00000000" w14:paraId="000000C6">
      <w:pPr>
        <w:spacing w:after="240" w:before="240" w:line="276" w:lineRule="auto"/>
        <w:rPr/>
      </w:pPr>
      <w:r w:rsidDel="00000000" w:rsidR="00000000" w:rsidRPr="00000000">
        <w:rPr>
          <w:rtl w:val="0"/>
        </w:rPr>
        <w:t xml:space="preserve">The methodological approach combines a systematic literature review with a qualitative analysis of interviews with leaders from regulated and innovation sectors. The analysis highlights the importance of digital literacy and governance as mediators between infrastructure, data, and productivity, and suggests practices such as the use of MVPs, hybrid architectures, and compliance with regulations.</w:t>
      </w:r>
    </w:p>
    <w:p w:rsidR="00000000" w:rsidDel="00000000" w:rsidP="00000000" w:rsidRDefault="00000000" w:rsidRPr="00000000" w14:paraId="000000C7">
      <w:pPr>
        <w:spacing w:after="240" w:before="240" w:line="276" w:lineRule="auto"/>
        <w:rPr/>
      </w:pPr>
      <w:r w:rsidDel="00000000" w:rsidR="00000000" w:rsidRPr="00000000">
        <w:rPr>
          <w:rtl w:val="0"/>
        </w:rPr>
        <w:t xml:space="preserve">The paper is structured as follows: Section 2 presents the systematic review and conceptual framework; Section 3 describes the methodology and analytical procedures; Section 4 highlights the empirical results and discussion; and the final section concludes the article with research implications and future work.</w:t>
      </w:r>
      <w:r w:rsidDel="00000000" w:rsidR="00000000" w:rsidRPr="00000000">
        <w:rPr>
          <w:rtl w:val="0"/>
        </w:rPr>
        <w:t xml:space="preserve">     </w:t>
      </w:r>
    </w:p>
    <w:p w:rsidR="00000000" w:rsidDel="00000000" w:rsidP="00000000" w:rsidRDefault="00000000" w:rsidRPr="00000000" w14:paraId="000000C8">
      <w:pPr>
        <w:pStyle w:val="Heading1"/>
        <w:keepNext w:val="0"/>
        <w:keepLines w:val="0"/>
        <w:spacing w:after="120" w:before="480" w:line="360" w:lineRule="auto"/>
        <w:jc w:val="both"/>
        <w:rPr/>
      </w:pPr>
      <w:bookmarkStart w:colFirst="0" w:colLast="0" w:name="_heading=h.i4v93sdhud1i" w:id="3"/>
      <w:bookmarkEnd w:id="3"/>
      <w:r w:rsidDel="00000000" w:rsidR="00000000" w:rsidRPr="00000000">
        <w:rPr>
          <w:rtl w:val="0"/>
        </w:rPr>
        <w:t xml:space="preserve">2. Theoretical Framework</w:t>
      </w:r>
    </w:p>
    <w:p w:rsidR="00000000" w:rsidDel="00000000" w:rsidP="00000000" w:rsidRDefault="00000000" w:rsidRPr="00000000" w14:paraId="000000C9">
      <w:pPr>
        <w:spacing w:after="240" w:before="240" w:line="360" w:lineRule="auto"/>
        <w:jc w:val="both"/>
        <w:rPr/>
      </w:pPr>
      <w:r w:rsidDel="00000000" w:rsidR="00000000" w:rsidRPr="00000000">
        <w:rPr>
          <w:rtl w:val="0"/>
        </w:rPr>
        <w:t xml:space="preserve">Recent advances in Generative Artificial Intelligence (GenAI) have intensified its impact on organizational processes, productivity, innovation, and decision-making. However, studies consistently show that the adoption of GenAI in emerging economies occurs unevenly and is conditioned by structural, institutional, and cultural factors. Kshetri (2020) and Aderibigbe et al. (2023) highlight that disparities in digital infrastructure, regulatory uncertainty, and workforce skill gaps directly influence technological absorption capacity in these contexts.</w:t>
      </w:r>
    </w:p>
    <w:p w:rsidR="00000000" w:rsidDel="00000000" w:rsidP="00000000" w:rsidRDefault="00000000" w:rsidRPr="00000000" w14:paraId="000000CA">
      <w:pPr>
        <w:spacing w:after="240" w:before="240" w:line="360" w:lineRule="auto"/>
        <w:jc w:val="both"/>
        <w:rPr/>
      </w:pPr>
      <w:r w:rsidDel="00000000" w:rsidR="00000000" w:rsidRPr="00000000">
        <w:rPr>
          <w:rtl w:val="0"/>
        </w:rPr>
        <w:t xml:space="preserve">From an international perspective, Kopalle et al. (2022) demonstrate that AI diffusion reflects global inequalities and requires contextual adaptation—a process the authors refer to as </w:t>
      </w:r>
      <w:r w:rsidDel="00000000" w:rsidR="00000000" w:rsidRPr="00000000">
        <w:rPr>
          <w:i w:val="1"/>
          <w:iCs w:val="1"/>
          <w:rtl w:val="0"/>
        </w:rPr>
        <w:t xml:space="preserve">glocalization</w:t>
      </w:r>
      <w:r w:rsidDel="00000000" w:rsidR="00000000" w:rsidRPr="00000000">
        <w:rPr>
          <w:rtl w:val="0"/>
        </w:rPr>
        <w:t xml:space="preserve">. Korinek and Stiglitz (2021) further argue that AI tends to concentrate economic benefits in technologically dominant countries, widening the gap between developed and developing economies.</w:t>
      </w:r>
    </w:p>
    <w:p w:rsidR="00000000" w:rsidDel="00000000" w:rsidP="00000000" w:rsidRDefault="00000000" w:rsidRPr="00000000" w14:paraId="000000CB">
      <w:pPr>
        <w:spacing w:after="240" w:before="240" w:line="360" w:lineRule="auto"/>
        <w:jc w:val="both"/>
        <w:rPr/>
      </w:pPr>
      <w:r w:rsidDel="00000000" w:rsidR="00000000" w:rsidRPr="00000000">
        <w:rPr>
          <w:rtl w:val="0"/>
        </w:rPr>
        <w:t xml:space="preserve">At the organizational level, studies such as Mannuru et al. (2023) and Armand and Lamiya (2023) examine both the benefits and risks of GenAI use within firms. These studies highlight productivity gains, improved efficiency, and accelerated prototyping, while also identifying ethical concerns, risks of overreliance, and governance challenges. Kumar et al. (2024) show that managerial capability and digital literacy are central determinants of sustainable AI adoption.</w:t>
      </w:r>
    </w:p>
    <w:p w:rsidR="00000000" w:rsidDel="00000000" w:rsidP="00000000" w:rsidRDefault="00000000" w:rsidRPr="00000000" w14:paraId="000000CC">
      <w:pPr>
        <w:spacing w:after="240" w:before="240" w:line="360" w:lineRule="auto"/>
        <w:jc w:val="both"/>
        <w:rPr/>
      </w:pPr>
      <w:r w:rsidDel="00000000" w:rsidR="00000000" w:rsidRPr="00000000">
        <w:rPr>
          <w:rtl w:val="0"/>
        </w:rPr>
        <w:t xml:space="preserve">At the institutional level, Demaidi (2023) emphasizes that the absence of coordinated national AI strategies limits responsible scaling. Mhlanga (2021, 2022) associates AI adoption with economic development and stresses the role of infrastructure modernization, research investment, and technical training.</w:t>
      </w:r>
    </w:p>
    <w:p w:rsidR="00000000" w:rsidDel="00000000" w:rsidP="00000000" w:rsidRDefault="00000000" w:rsidRPr="00000000" w14:paraId="000000CD">
      <w:pPr>
        <w:spacing w:after="240" w:before="240" w:line="360" w:lineRule="auto"/>
        <w:jc w:val="both"/>
        <w:rPr/>
      </w:pPr>
      <w:r w:rsidDel="00000000" w:rsidR="00000000" w:rsidRPr="00000000">
        <w:rPr>
          <w:rtl w:val="0"/>
        </w:rPr>
        <w:t xml:space="preserve">Taken together, these studies indicate that the adoption of GenAI in emerging economies is a socio-technical process shaped by the interplay of technological innovation, public policies, organizational culture, and institutional capacity. This theoretical background supports the analysis conducted in this work, which examines how Brazilian organizations incorporate GenAI under institutional, cultural, and technical constraints.</w:t>
      </w:r>
    </w:p>
    <w:p w:rsidR="00000000" w:rsidDel="00000000" w:rsidP="00000000" w:rsidRDefault="00000000" w:rsidRPr="00000000" w14:paraId="000000CE">
      <w:pPr>
        <w:pStyle w:val="Heading1"/>
        <w:keepNext w:val="0"/>
        <w:keepLines w:val="0"/>
        <w:spacing w:after="120" w:before="480" w:line="360" w:lineRule="auto"/>
        <w:jc w:val="both"/>
        <w:rPr/>
      </w:pPr>
      <w:bookmarkStart w:colFirst="0" w:colLast="0" w:name="_heading=h.98eh31s3gkwz" w:id="4"/>
      <w:bookmarkEnd w:id="4"/>
      <w:r w:rsidDel="00000000" w:rsidR="00000000" w:rsidRPr="00000000">
        <w:rPr>
          <w:rtl w:val="0"/>
        </w:rPr>
        <w:t xml:space="preserve">3. Methodology</w:t>
      </w:r>
    </w:p>
    <w:p w:rsidR="00000000" w:rsidDel="00000000" w:rsidP="00000000" w:rsidRDefault="00000000" w:rsidRPr="00000000" w14:paraId="000000CF">
      <w:pPr>
        <w:spacing w:after="240" w:before="240" w:line="360" w:lineRule="auto"/>
        <w:jc w:val="both"/>
        <w:rPr/>
      </w:pPr>
      <w:r w:rsidDel="00000000" w:rsidR="00000000" w:rsidRPr="00000000">
        <w:rPr>
          <w:rtl w:val="0"/>
        </w:rPr>
        <w:t xml:space="preserve">This research employs a qualitative and exploratory design, appropriate for investigating complex and emergent organizational phenomena. The methodological approach aims to understand how and why organizations adopt Generative AI by examining perceptions, experiences, and practices across sectors with different levels of digital maturity.</w:t>
      </w:r>
    </w:p>
    <w:p w:rsidR="00000000" w:rsidDel="00000000" w:rsidP="00000000" w:rsidRDefault="00000000" w:rsidRPr="00000000" w14:paraId="000000D0">
      <w:pPr>
        <w:spacing w:after="240" w:before="240" w:line="360" w:lineRule="auto"/>
        <w:jc w:val="both"/>
        <w:rPr/>
      </w:pPr>
      <w:r w:rsidDel="00000000" w:rsidR="00000000" w:rsidRPr="00000000">
        <w:rPr>
          <w:rtl w:val="0"/>
        </w:rPr>
        <w:t xml:space="preserve">Data collection relied on semi-structured interviews, which allow comparability across cases while preserving flexibility to explore emerging themes. The interview protocol was informed by the systematic literature review and organized into six thematic areas: (i) GenAI adoption and use cases; (ii) perceived benefits; (iii) internal barriers and resistance; (iv) training and digital literacy; (v) governance and regulation; and (vi) future perspectives.</w:t>
      </w:r>
    </w:p>
    <w:p w:rsidR="00000000" w:rsidDel="00000000" w:rsidP="00000000" w:rsidRDefault="00000000" w:rsidRPr="00000000" w14:paraId="000000D1">
      <w:pPr>
        <w:spacing w:after="240" w:before="240" w:line="360" w:lineRule="auto"/>
        <w:jc w:val="both"/>
        <w:rPr/>
      </w:pPr>
      <w:r w:rsidDel="00000000" w:rsidR="00000000" w:rsidRPr="00000000">
        <w:rPr>
          <w:rtl w:val="0"/>
        </w:rPr>
        <w:t xml:space="preserve">The sample was intentional and composed of ten professionals directly involved in the development, management, or implementation of GenAI initiatives in sectors such as technology, finance, consulting, education, and public administration. Participants’ anonymity was preserved.</w:t>
      </w:r>
    </w:p>
    <w:p w:rsidR="00000000" w:rsidDel="00000000" w:rsidP="00000000" w:rsidRDefault="00000000" w:rsidRPr="00000000" w14:paraId="000000D2">
      <w:pPr>
        <w:spacing w:after="240" w:before="240" w:line="360" w:lineRule="auto"/>
        <w:jc w:val="both"/>
        <w:rPr/>
      </w:pPr>
      <w:r w:rsidDel="00000000" w:rsidR="00000000" w:rsidRPr="00000000">
        <w:rPr>
          <w:rtl w:val="0"/>
        </w:rPr>
        <w:t xml:space="preserve">Interview transcripts were analyzed through thematic content analysis supported by MAXQDA software. The coding process followed three iterative stages. First, two transcripts were coded to refine the initial codebook derived from the literature. Second, all transcripts were coded using the revised codebook, organized into categories such as benefits, barriers, risks, work and training, governance and policy, infrastructure and data, and recommendations. Third, macro-themes were constructed and examined through cross-case and cross-sector analysis. Analytical memos were produced to document interpretive decisions and ensure consistent application of codes.</w:t>
      </w:r>
    </w:p>
    <w:p w:rsidR="00000000" w:rsidDel="00000000" w:rsidP="00000000" w:rsidRDefault="00000000" w:rsidRPr="00000000" w14:paraId="000000D3">
      <w:pPr>
        <w:spacing w:after="240" w:before="240" w:line="360" w:lineRule="auto"/>
        <w:jc w:val="both"/>
        <w:rPr/>
      </w:pPr>
      <w:r w:rsidDel="00000000" w:rsidR="00000000" w:rsidRPr="00000000">
        <w:rPr>
          <w:rtl w:val="0"/>
        </w:rPr>
        <w:t xml:space="preserve">The methodology provides sufficient detail to allow replication by other researchers following the same procedures.</w:t>
      </w:r>
    </w:p>
    <w:p w:rsidR="00000000" w:rsidDel="00000000" w:rsidP="00000000" w:rsidRDefault="00000000" w:rsidRPr="00000000" w14:paraId="000000D4">
      <w:pPr>
        <w:pStyle w:val="Heading1"/>
        <w:keepNext w:val="0"/>
        <w:keepLines w:val="0"/>
        <w:spacing w:after="120" w:before="480" w:line="360" w:lineRule="auto"/>
        <w:jc w:val="both"/>
        <w:rPr/>
      </w:pPr>
      <w:bookmarkStart w:colFirst="0" w:colLast="0" w:name="_heading=h.cp6bgv5hzhkt" w:id="5"/>
      <w:bookmarkEnd w:id="5"/>
      <w:r w:rsidDel="00000000" w:rsidR="00000000" w:rsidRPr="00000000">
        <w:rPr>
          <w:rtl w:val="0"/>
        </w:rPr>
        <w:t xml:space="preserve">4. Results</w:t>
      </w:r>
    </w:p>
    <w:p w:rsidR="00000000" w:rsidDel="00000000" w:rsidP="00000000" w:rsidRDefault="00000000" w:rsidRPr="00000000" w14:paraId="000000D5">
      <w:pPr>
        <w:spacing w:after="240" w:before="240" w:line="360" w:lineRule="auto"/>
        <w:jc w:val="both"/>
        <w:rPr/>
      </w:pPr>
      <w:r w:rsidDel="00000000" w:rsidR="00000000" w:rsidRPr="00000000">
        <w:rPr>
          <w:rtl w:val="0"/>
        </w:rPr>
        <w:t xml:space="preserve">The results of the thematic analysis are presented below. Graphs, charts, and tables were used to support the interpretation of the findings, and their accompanying textual explanations specify their relevance.</w:t>
      </w:r>
    </w:p>
    <w:p w:rsidR="00000000" w:rsidDel="00000000" w:rsidP="00000000" w:rsidRDefault="00000000" w:rsidRPr="00000000" w14:paraId="000000D6">
      <w:pPr>
        <w:spacing w:after="240" w:before="240" w:line="360" w:lineRule="auto"/>
        <w:jc w:val="both"/>
        <w:rPr/>
      </w:pPr>
      <w:r w:rsidDel="00000000" w:rsidR="00000000" w:rsidRPr="00000000">
        <w:rPr>
          <w:rtl w:val="0"/>
        </w:rPr>
        <w:t xml:space="preserve">Across the dataset, 175 coded segments were organized into eight macro-themes: adoption and use, benefits, barriers, risks, work and training, government and public policy, infrastructure and data, and recommendations and best practices. These themes reflect the multidimensional nature of GenAI adoption in Brazilian organizations.</w:t>
      </w:r>
    </w:p>
    <w:p w:rsidR="00000000" w:rsidDel="00000000" w:rsidP="00000000" w:rsidRDefault="00000000" w:rsidRPr="00000000" w14:paraId="000000D7">
      <w:pPr>
        <w:spacing w:after="240" w:before="240" w:line="360" w:lineRule="auto"/>
        <w:jc w:val="both"/>
        <w:rPr/>
      </w:pPr>
      <w:r w:rsidDel="00000000" w:rsidR="00000000" w:rsidRPr="00000000">
        <w:rPr>
          <w:rtl w:val="0"/>
        </w:rPr>
        <w:t xml:space="preserve">Adoption and use varied significantly across sectors. Technology and consulting firms showed greater experimentation, whereas financial and public-sector organizations adopted GenAI more cautiously due to compliance and security constraints. Benefits were primarily operational, with notable gains in productivity, development speed, and code quality. Barriers were predominantly institutional and cultural, including bureaucratic approval processes and resistance from experienced professionals.</w:t>
      </w:r>
    </w:p>
    <w:p w:rsidR="00000000" w:rsidDel="00000000" w:rsidP="00000000" w:rsidRDefault="00000000" w:rsidRPr="00000000" w14:paraId="000000D8">
      <w:pPr>
        <w:spacing w:after="240" w:before="240" w:line="360" w:lineRule="auto"/>
        <w:jc w:val="both"/>
        <w:rPr/>
      </w:pPr>
      <w:r w:rsidDel="00000000" w:rsidR="00000000" w:rsidRPr="00000000">
        <w:rPr>
          <w:rtl w:val="0"/>
        </w:rPr>
        <w:t xml:space="preserve">Risks centered on data security, compliance with the LGPD, and concerns about excessive dependence on AI tools. Work and training emerged as critical dimensions of adoption, with digital literacy strongly influencing acceptance. Government and public policy were mentioned as sources of uncertainty due to the absence of clear regulatory frameworks.</w:t>
      </w:r>
    </w:p>
    <w:p w:rsidR="00000000" w:rsidDel="00000000" w:rsidP="00000000" w:rsidRDefault="00000000" w:rsidRPr="00000000" w14:paraId="000000D9">
      <w:pPr>
        <w:spacing w:after="240" w:before="240" w:line="360" w:lineRule="auto"/>
        <w:jc w:val="both"/>
        <w:rPr/>
      </w:pPr>
      <w:r w:rsidDel="00000000" w:rsidR="00000000" w:rsidRPr="00000000">
        <w:rPr>
          <w:rtl w:val="0"/>
        </w:rPr>
        <w:t xml:space="preserve">Infrastructure and data practices were uneven, with cloud adoption advancing faster than data standardization. Recommended practices emphasized incremental adoption, clear usage rules, specialized expertise, and governance mechanisms.</w:t>
      </w:r>
    </w:p>
    <w:p w:rsidR="00000000" w:rsidDel="00000000" w:rsidP="00000000" w:rsidRDefault="00000000" w:rsidRPr="00000000" w14:paraId="000000DA">
      <w:pPr>
        <w:pStyle w:val="Heading1"/>
        <w:keepNext w:val="0"/>
        <w:keepLines w:val="0"/>
        <w:spacing w:after="120" w:before="480" w:line="360" w:lineRule="auto"/>
        <w:jc w:val="both"/>
        <w:rPr/>
      </w:pPr>
      <w:bookmarkStart w:colFirst="0" w:colLast="0" w:name="_heading=h.ymj5cp9z5nrm" w:id="6"/>
      <w:bookmarkEnd w:id="6"/>
      <w:r w:rsidDel="00000000" w:rsidR="00000000" w:rsidRPr="00000000">
        <w:rPr>
          <w:rtl w:val="0"/>
        </w:rPr>
        <w:t xml:space="preserve">4. Analysis and Discussion of Results</w:t>
      </w:r>
    </w:p>
    <w:p w:rsidR="00000000" w:rsidDel="00000000" w:rsidP="00000000" w:rsidRDefault="00000000" w:rsidRPr="00000000" w14:paraId="000000DB">
      <w:pPr>
        <w:spacing w:after="240" w:before="240" w:line="360" w:lineRule="auto"/>
        <w:jc w:val="both"/>
        <w:rPr/>
      </w:pPr>
      <w:r w:rsidDel="00000000" w:rsidR="00000000" w:rsidRPr="00000000">
        <w:rPr>
          <w:rtl w:val="0"/>
        </w:rPr>
        <w:t xml:space="preserve">The results demonstrate that GenAI adoption in Brazil operates at the intersection of innovation and institutional constraint. The presence of two distinct sectoral maturity regimes supports the notion that organizational context significantly influences adoption trajectories.</w:t>
      </w:r>
    </w:p>
    <w:p w:rsidR="00000000" w:rsidDel="00000000" w:rsidP="00000000" w:rsidRDefault="00000000" w:rsidRPr="00000000" w14:paraId="000000DC">
      <w:pPr>
        <w:spacing w:after="240" w:before="240" w:line="360" w:lineRule="auto"/>
        <w:jc w:val="both"/>
        <w:rPr/>
      </w:pPr>
      <w:r w:rsidDel="00000000" w:rsidR="00000000" w:rsidRPr="00000000">
        <w:rPr>
          <w:rtl w:val="0"/>
        </w:rPr>
        <w:t xml:space="preserve">Findings align with literature emphasizing structural inequalities in technological diffusion (Kopalle et al., 2022), but this study contributes by showing how such inequalities materialize internally within organizations. GenAI adoption was found to be driven more by internal experimentation than by competitive pressure, situating Brazil within the </w:t>
      </w:r>
      <w:r w:rsidDel="00000000" w:rsidR="00000000" w:rsidRPr="00000000">
        <w:rPr>
          <w:i w:val="1"/>
          <w:iCs w:val="1"/>
          <w:rtl w:val="0"/>
        </w:rPr>
        <w:t xml:space="preserve">glocalization</w:t>
      </w:r>
      <w:r w:rsidDel="00000000" w:rsidR="00000000" w:rsidRPr="00000000">
        <w:rPr>
          <w:rtl w:val="0"/>
        </w:rPr>
        <w:t xml:space="preserve"> framework.</w:t>
      </w:r>
    </w:p>
    <w:p w:rsidR="00000000" w:rsidDel="00000000" w:rsidP="00000000" w:rsidRDefault="00000000" w:rsidRPr="00000000" w14:paraId="000000DD">
      <w:pPr>
        <w:spacing w:after="240" w:before="240" w:line="360" w:lineRule="auto"/>
        <w:jc w:val="both"/>
        <w:rPr/>
      </w:pPr>
      <w:r w:rsidDel="00000000" w:rsidR="00000000" w:rsidRPr="00000000">
        <w:rPr>
          <w:rtl w:val="0"/>
        </w:rPr>
        <w:t xml:space="preserve">A central contribution of this study is the identification of the pedagogical role of governance. While previous research emphasizes governance as a control mechanism, the present findings show that governance also structures organizational learning. Internal policies, validation routines, and approval workflows teach employees how to evaluate AI outputs, identify appropriate use cases, and determine when human oversight is required. This mechanism was shared across both regulated and innovation-driven sectors, although operationalized differently.</w:t>
      </w:r>
    </w:p>
    <w:p w:rsidR="00000000" w:rsidDel="00000000" w:rsidP="00000000" w:rsidRDefault="00000000" w:rsidRPr="00000000" w14:paraId="000000DE">
      <w:pPr>
        <w:spacing w:after="240" w:before="240" w:line="360" w:lineRule="auto"/>
        <w:jc w:val="both"/>
        <w:rPr/>
      </w:pPr>
      <w:r w:rsidDel="00000000" w:rsidR="00000000" w:rsidRPr="00000000">
        <w:rPr>
          <w:rtl w:val="0"/>
        </w:rPr>
        <w:t xml:space="preserve">Digital literacy further mediates adoption outcomes. Unlike macroeconomic studies where literacy relates to education or income, here it emerges as an organizational capability influencing both adoption speed and risk exposure.</w:t>
      </w:r>
    </w:p>
    <w:p w:rsidR="00000000" w:rsidDel="00000000" w:rsidP="00000000" w:rsidRDefault="00000000" w:rsidRPr="00000000" w14:paraId="000000DF">
      <w:pPr>
        <w:spacing w:after="240" w:before="240" w:line="360" w:lineRule="auto"/>
        <w:jc w:val="both"/>
        <w:rPr/>
      </w:pPr>
      <w:r w:rsidDel="00000000" w:rsidR="00000000" w:rsidRPr="00000000">
        <w:rPr>
          <w:rtl w:val="0"/>
        </w:rPr>
        <w:t xml:space="preserve">The discussion reinforces that infrastructure alone is insufficient to advance GenAI maturity. Without governance, training, and cultural alignment, organizations struggle to move beyond experimentation toward responsible and scalable use. These findings broaden the socio-technical understanding of GenAI adoption in emerging economies.</w:t>
      </w:r>
    </w:p>
    <w:p w:rsidR="00000000" w:rsidDel="00000000" w:rsidP="00000000" w:rsidRDefault="00000000" w:rsidRPr="00000000" w14:paraId="000000E0">
      <w:pPr>
        <w:pStyle w:val="Heading1"/>
        <w:keepNext w:val="0"/>
        <w:keepLines w:val="0"/>
        <w:spacing w:after="120" w:before="480" w:line="360" w:lineRule="auto"/>
        <w:jc w:val="both"/>
        <w:rPr/>
      </w:pPr>
      <w:bookmarkStart w:colFirst="0" w:colLast="0" w:name="_heading=h.z4weu71t2j7g" w:id="7"/>
      <w:bookmarkEnd w:id="7"/>
      <w:r w:rsidDel="00000000" w:rsidR="00000000" w:rsidRPr="00000000">
        <w:rPr>
          <w:rtl w:val="0"/>
        </w:rPr>
        <w:t xml:space="preserve">5. Conclusion</w:t>
      </w:r>
    </w:p>
    <w:p w:rsidR="00000000" w:rsidDel="00000000" w:rsidP="00000000" w:rsidRDefault="00000000" w:rsidRPr="00000000" w14:paraId="000000E1">
      <w:pPr>
        <w:spacing w:after="240" w:before="240" w:line="360" w:lineRule="auto"/>
        <w:jc w:val="both"/>
        <w:rPr/>
      </w:pPr>
      <w:r w:rsidDel="00000000" w:rsidR="00000000" w:rsidRPr="00000000">
        <w:rPr>
          <w:rtl w:val="0"/>
        </w:rPr>
        <w:t xml:space="preserve">The study concludes that the objectives proposed in the research were achieved. It was possible to understand how Brazilian organizations adopt GenAI and identify key benefits, barriers, risks, and governance mechanisms associated with this process.</w:t>
      </w:r>
    </w:p>
    <w:p w:rsidR="00000000" w:rsidDel="00000000" w:rsidP="00000000" w:rsidRDefault="00000000" w:rsidRPr="00000000" w14:paraId="000000E2">
      <w:pPr>
        <w:spacing w:after="240" w:before="240" w:line="360" w:lineRule="auto"/>
        <w:jc w:val="both"/>
        <w:rPr/>
      </w:pPr>
      <w:r w:rsidDel="00000000" w:rsidR="00000000" w:rsidRPr="00000000">
        <w:rPr>
          <w:rtl w:val="0"/>
        </w:rPr>
        <w:t xml:space="preserve">Findings indicate that organizational maturity in GenAI adoption depends less on technical sophistication and more on the integration of governance, digital literacy, data practices, and institutional stability. Governance plays a dual function—regulatory and pedagogical—by enabling organizations to manage risks while structuring collective learning.</w:t>
      </w:r>
    </w:p>
    <w:p w:rsidR="00000000" w:rsidDel="00000000" w:rsidP="00000000" w:rsidRDefault="00000000" w:rsidRPr="00000000" w14:paraId="000000E3">
      <w:pPr>
        <w:spacing w:after="240" w:before="240" w:line="360" w:lineRule="auto"/>
        <w:jc w:val="both"/>
        <w:rPr/>
      </w:pPr>
      <w:r w:rsidDel="00000000" w:rsidR="00000000" w:rsidRPr="00000000">
        <w:rPr>
          <w:rtl w:val="0"/>
        </w:rPr>
        <w:t xml:space="preserve">The study contributes theoretically by reinforcing the socio-technical perspective of GenAI adoption and by highlighting governance and digital literacy as mediating factors. Practically, it offers recommendations for incremental adoption, structured training programs, and internal governance frameworks.</w:t>
      </w:r>
    </w:p>
    <w:p w:rsidR="00000000" w:rsidDel="00000000" w:rsidP="00000000" w:rsidRDefault="00000000" w:rsidRPr="00000000" w14:paraId="000000E4">
      <w:pPr>
        <w:spacing w:after="240" w:before="240" w:line="360" w:lineRule="auto"/>
        <w:jc w:val="both"/>
        <w:rPr/>
      </w:pPr>
      <w:r w:rsidDel="00000000" w:rsidR="00000000" w:rsidRPr="00000000">
        <w:rPr>
          <w:rtl w:val="0"/>
        </w:rPr>
        <w:t xml:space="preserve">Future research may expand the comparative scope to other emerging economies, explore quantitative approaches, or examine sector-specific governance models in more detail.</w:t>
      </w:r>
    </w:p>
    <w:p w:rsidR="00000000" w:rsidDel="00000000" w:rsidP="00000000" w:rsidRDefault="00000000" w:rsidRPr="00000000" w14:paraId="000000E5">
      <w:pPr>
        <w:spacing w:after="0" w:line="360" w:lineRule="auto"/>
        <w:ind w:firstLine="709"/>
        <w:jc w:val="both"/>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pPr>
      <w:bookmarkStart w:colFirst="0" w:colLast="0" w:name="_heading=h.ejdxllrcw30r" w:id="8"/>
      <w:bookmarkEnd w:id="8"/>
      <w:r w:rsidDel="00000000" w:rsidR="00000000" w:rsidRPr="00000000">
        <w:rPr>
          <w:rtl w:val="0"/>
        </w:rPr>
        <w:t xml:space="preserve">References </w:t>
      </w:r>
    </w:p>
    <w:p w:rsidR="00000000" w:rsidDel="00000000" w:rsidP="00000000" w:rsidRDefault="00000000" w:rsidRPr="00000000" w14:paraId="000000E8">
      <w:pPr>
        <w:spacing w:after="0" w:line="240" w:lineRule="auto"/>
        <w:rPr/>
      </w:pPr>
      <w:r w:rsidDel="00000000" w:rsidR="00000000" w:rsidRPr="00000000">
        <w:rPr>
          <w:rtl w:val="0"/>
        </w:rPr>
      </w:r>
    </w:p>
    <w:p w:rsidR="00000000" w:rsidDel="00000000" w:rsidP="00000000" w:rsidRDefault="00000000" w:rsidRPr="00000000" w14:paraId="000000E9">
      <w:pPr>
        <w:spacing w:after="240" w:before="240" w:line="276" w:lineRule="auto"/>
        <w:rPr>
          <w:color w:val="1155cc"/>
          <w:u w:val="single"/>
        </w:rPr>
      </w:pPr>
      <w:r w:rsidDel="00000000" w:rsidR="00000000" w:rsidRPr="00000000">
        <w:rPr>
          <w:rtl w:val="0"/>
        </w:rPr>
        <w:t xml:space="preserve">Aderibigbe, A. O., Ohenhen, P. E., Nwaobia, N. K., Gidiagba, J. O., &amp; Ani, E. C. (2023). Artificial intelligence in developing countries: Bridging the gap between potential and implementation. </w:t>
      </w:r>
      <w:r w:rsidDel="00000000" w:rsidR="00000000" w:rsidRPr="00000000">
        <w:rPr>
          <w:i w:val="1"/>
          <w:iCs w:val="1"/>
          <w:rtl w:val="0"/>
        </w:rPr>
        <w:t xml:space="preserve">Computer Science &amp; IT Research Journal</w:t>
      </w:r>
      <w:r w:rsidDel="00000000" w:rsidR="00000000" w:rsidRPr="00000000">
        <w:rPr>
          <w:rtl w:val="0"/>
        </w:rPr>
        <w:t xml:space="preserve">, 4(3), 185–199.</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https://doi.org/10.51594/csitrj.v4i3.629</w:t>
        </w:r>
      </w:hyperlink>
      <w:r w:rsidDel="00000000" w:rsidR="00000000" w:rsidRPr="00000000">
        <w:rPr>
          <w:rtl w:val="0"/>
        </w:rPr>
      </w:r>
    </w:p>
    <w:p w:rsidR="00000000" w:rsidDel="00000000" w:rsidP="00000000" w:rsidRDefault="00000000" w:rsidRPr="00000000" w14:paraId="000000EA">
      <w:pPr>
        <w:spacing w:after="240" w:before="240" w:line="276" w:lineRule="auto"/>
        <w:rPr/>
      </w:pPr>
      <w:r w:rsidDel="00000000" w:rsidR="00000000" w:rsidRPr="00000000">
        <w:rPr>
          <w:rtl w:val="0"/>
        </w:rPr>
        <w:t xml:space="preserve">Armand, M., &amp; Lamiya, U. R. (2023). Exploring the implication of ChatGPT AI for business: Efficiency and challenges. </w:t>
      </w:r>
      <w:r w:rsidDel="00000000" w:rsidR="00000000" w:rsidRPr="00000000">
        <w:rPr>
          <w:i w:val="1"/>
          <w:iCs w:val="1"/>
          <w:rtl w:val="0"/>
        </w:rPr>
        <w:t xml:space="preserve">Journal of Innovation Information Technology and Application (JINITA)</w:t>
      </w:r>
      <w:r w:rsidDel="00000000" w:rsidR="00000000" w:rsidRPr="00000000">
        <w:rPr>
          <w:rtl w:val="0"/>
        </w:rPr>
        <w:t xml:space="preserve">, 5, 52–64.</w:t>
      </w:r>
    </w:p>
    <w:p w:rsidR="00000000" w:rsidDel="00000000" w:rsidP="00000000" w:rsidRDefault="00000000" w:rsidRPr="00000000" w14:paraId="000000EB">
      <w:pPr>
        <w:spacing w:after="240" w:before="240" w:line="276" w:lineRule="auto"/>
        <w:rPr/>
      </w:pPr>
      <w:r w:rsidDel="00000000" w:rsidR="00000000" w:rsidRPr="00000000">
        <w:rPr>
          <w:rtl w:val="0"/>
        </w:rPr>
        <w:t xml:space="preserve">Demaidi, M. N. (2023). Artificial intelligence national strategy in a developing country. </w:t>
      </w:r>
      <w:r w:rsidDel="00000000" w:rsidR="00000000" w:rsidRPr="00000000">
        <w:rPr>
          <w:i w:val="1"/>
          <w:iCs w:val="1"/>
          <w:rtl w:val="0"/>
        </w:rPr>
        <w:t xml:space="preserve">AI &amp; Society</w:t>
      </w:r>
      <w:r w:rsidDel="00000000" w:rsidR="00000000" w:rsidRPr="00000000">
        <w:rPr>
          <w:rtl w:val="0"/>
        </w:rPr>
        <w:t xml:space="preserve">, 1–13.</w:t>
      </w:r>
    </w:p>
    <w:p w:rsidR="00000000" w:rsidDel="00000000" w:rsidP="00000000" w:rsidRDefault="00000000" w:rsidRPr="00000000" w14:paraId="000000EC">
      <w:pPr>
        <w:spacing w:after="240" w:before="240" w:line="276" w:lineRule="auto"/>
        <w:rPr/>
      </w:pPr>
      <w:r w:rsidDel="00000000" w:rsidR="00000000" w:rsidRPr="00000000">
        <w:rPr>
          <w:rtl w:val="0"/>
        </w:rPr>
        <w:t xml:space="preserve">Eisenhardt, K. M. (1989). Building theories from case study research. </w:t>
      </w:r>
      <w:r w:rsidDel="00000000" w:rsidR="00000000" w:rsidRPr="00000000">
        <w:rPr>
          <w:i w:val="1"/>
          <w:iCs w:val="1"/>
          <w:rtl w:val="0"/>
        </w:rPr>
        <w:t xml:space="preserve">Academy of Management Review</w:t>
      </w:r>
      <w:r w:rsidDel="00000000" w:rsidR="00000000" w:rsidRPr="00000000">
        <w:rPr>
          <w:rtl w:val="0"/>
        </w:rPr>
        <w:t xml:space="preserve">, 14(4), 532–550.</w:t>
      </w:r>
    </w:p>
    <w:p w:rsidR="00000000" w:rsidDel="00000000" w:rsidP="00000000" w:rsidRDefault="00000000" w:rsidRPr="00000000" w14:paraId="000000ED">
      <w:pPr>
        <w:spacing w:after="240" w:before="240" w:line="276" w:lineRule="auto"/>
        <w:rPr>
          <w:color w:val="1155cc"/>
          <w:u w:val="single"/>
        </w:rPr>
      </w:pPr>
      <w:r w:rsidDel="00000000" w:rsidR="00000000" w:rsidRPr="00000000">
        <w:rPr>
          <w:rtl w:val="0"/>
        </w:rPr>
        <w:t xml:space="preserve">Ernst, E., Merola, R., &amp; Samaan, D. (2019). Economics of artificial intelligence: Implications for the future of work. </w:t>
      </w:r>
      <w:r w:rsidDel="00000000" w:rsidR="00000000" w:rsidRPr="00000000">
        <w:rPr>
          <w:i w:val="1"/>
          <w:iCs w:val="1"/>
          <w:rtl w:val="0"/>
        </w:rPr>
        <w:t xml:space="preserve">IZA Journal of Labor Policy</w:t>
      </w:r>
      <w:r w:rsidDel="00000000" w:rsidR="00000000" w:rsidRPr="00000000">
        <w:rPr>
          <w:rtl w:val="0"/>
        </w:rPr>
        <w:t xml:space="preserve">, 9, 1–35.</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https://doi.org/10.2478/izajolp-2019-0004</w:t>
        </w:r>
      </w:hyperlink>
      <w:r w:rsidDel="00000000" w:rsidR="00000000" w:rsidRPr="00000000">
        <w:rPr>
          <w:rtl w:val="0"/>
        </w:rPr>
      </w:r>
    </w:p>
    <w:p w:rsidR="00000000" w:rsidDel="00000000" w:rsidP="00000000" w:rsidRDefault="00000000" w:rsidRPr="00000000" w14:paraId="000000EE">
      <w:pPr>
        <w:spacing w:after="240" w:before="240" w:line="276" w:lineRule="auto"/>
        <w:rPr>
          <w:color w:val="1155cc"/>
          <w:u w:val="single"/>
        </w:rPr>
      </w:pPr>
      <w:r w:rsidDel="00000000" w:rsidR="00000000" w:rsidRPr="00000000">
        <w:rPr>
          <w:rtl w:val="0"/>
        </w:rPr>
        <w:t xml:space="preserve">Korinek, A., &amp; Stiglitz, J. E. (2021). Artificial intelligence, globalization, and strategies for economic development. </w:t>
      </w:r>
      <w:r w:rsidDel="00000000" w:rsidR="00000000" w:rsidRPr="00000000">
        <w:rPr>
          <w:i w:val="1"/>
          <w:iCs w:val="1"/>
          <w:rtl w:val="0"/>
        </w:rPr>
        <w:t xml:space="preserve">Economics of Innovation and New Technology</w:t>
      </w:r>
      <w:r w:rsidDel="00000000" w:rsidR="00000000" w:rsidRPr="00000000">
        <w:rPr>
          <w:rtl w:val="0"/>
        </w:rPr>
        <w:t xml:space="preserve">, 30(8), 789–810.</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https://doi.org/10.1080/10438599.2020.1848976</w:t>
        </w:r>
      </w:hyperlink>
      <w:r w:rsidDel="00000000" w:rsidR="00000000" w:rsidRPr="00000000">
        <w:rPr>
          <w:rtl w:val="0"/>
        </w:rPr>
      </w:r>
    </w:p>
    <w:p w:rsidR="00000000" w:rsidDel="00000000" w:rsidP="00000000" w:rsidRDefault="00000000" w:rsidRPr="00000000" w14:paraId="000000EF">
      <w:pPr>
        <w:spacing w:after="240" w:before="240" w:line="276" w:lineRule="auto"/>
        <w:rPr>
          <w:color w:val="1155cc"/>
          <w:u w:val="single"/>
        </w:rPr>
      </w:pPr>
      <w:r w:rsidDel="00000000" w:rsidR="00000000" w:rsidRPr="00000000">
        <w:rPr>
          <w:rtl w:val="0"/>
        </w:rPr>
        <w:t xml:space="preserve">Kopalle, P. K., Gangwar, M., Kaplan, A., Ramachandran, D., Reinartz, W., &amp; Rindfleisch, A. (2022). Examining artificial intelligence (AI) technologies in marketing via a global lens. </w:t>
      </w:r>
      <w:r w:rsidDel="00000000" w:rsidR="00000000" w:rsidRPr="00000000">
        <w:rPr>
          <w:i w:val="1"/>
          <w:iCs w:val="1"/>
          <w:rtl w:val="0"/>
        </w:rPr>
        <w:t xml:space="preserve">International Journal of Research in Marketing</w:t>
      </w:r>
      <w:r w:rsidDel="00000000" w:rsidR="00000000" w:rsidRPr="00000000">
        <w:rPr>
          <w:rtl w:val="0"/>
        </w:rPr>
        <w:t xml:space="preserve">, 39(2), 522–540.</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https://doi.org/10.1016/j.ijresmar.2021.09.002</w:t>
        </w:r>
      </w:hyperlink>
      <w:r w:rsidDel="00000000" w:rsidR="00000000" w:rsidRPr="00000000">
        <w:rPr>
          <w:rtl w:val="0"/>
        </w:rPr>
      </w:r>
    </w:p>
    <w:p w:rsidR="00000000" w:rsidDel="00000000" w:rsidP="00000000" w:rsidRDefault="00000000" w:rsidRPr="00000000" w14:paraId="000000F0">
      <w:pPr>
        <w:spacing w:after="240" w:before="240" w:line="276" w:lineRule="auto"/>
        <w:rPr>
          <w:color w:val="1155cc"/>
          <w:u w:val="single"/>
        </w:rPr>
      </w:pPr>
      <w:r w:rsidDel="00000000" w:rsidR="00000000" w:rsidRPr="00000000">
        <w:rPr>
          <w:rtl w:val="0"/>
        </w:rPr>
        <w:t xml:space="preserve">Kshetri, N. (2020). Artificial intelligence in developing countries. </w:t>
      </w:r>
      <w:r w:rsidDel="00000000" w:rsidR="00000000" w:rsidRPr="00000000">
        <w:rPr>
          <w:i w:val="1"/>
          <w:iCs w:val="1"/>
          <w:rtl w:val="0"/>
        </w:rPr>
        <w:t xml:space="preserve">IT Professional</w:t>
      </w:r>
      <w:r w:rsidDel="00000000" w:rsidR="00000000" w:rsidRPr="00000000">
        <w:rPr>
          <w:rtl w:val="0"/>
        </w:rPr>
        <w:t xml:space="preserve">, 22(3), 63–68.</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https://doi.org/10.1109/MITP.2020.2979598</w:t>
        </w:r>
      </w:hyperlink>
      <w:r w:rsidDel="00000000" w:rsidR="00000000" w:rsidRPr="00000000">
        <w:rPr>
          <w:rtl w:val="0"/>
        </w:rPr>
      </w:r>
    </w:p>
    <w:p w:rsidR="00000000" w:rsidDel="00000000" w:rsidP="00000000" w:rsidRDefault="00000000" w:rsidRPr="00000000" w14:paraId="000000F1">
      <w:pPr>
        <w:spacing w:after="240" w:before="240" w:line="276" w:lineRule="auto"/>
        <w:rPr>
          <w:color w:val="1155cc"/>
          <w:u w:val="single"/>
        </w:rPr>
      </w:pPr>
      <w:r w:rsidDel="00000000" w:rsidR="00000000" w:rsidRPr="00000000">
        <w:rPr>
          <w:rtl w:val="0"/>
        </w:rPr>
        <w:t xml:space="preserve">Kumar, M., Raut, R. D., Mangla, S. K., Ferraris, A., &amp; Choubey, V. K. (2024). Adoption of AI-powered workforce management for effective revenue growth of MSMEs. </w:t>
      </w:r>
      <w:r w:rsidDel="00000000" w:rsidR="00000000" w:rsidRPr="00000000">
        <w:rPr>
          <w:i w:val="1"/>
          <w:iCs w:val="1"/>
          <w:rtl w:val="0"/>
        </w:rPr>
        <w:t xml:space="preserve">Production Planning &amp; Control</w:t>
      </w:r>
      <w:r w:rsidDel="00000000" w:rsidR="00000000" w:rsidRPr="00000000">
        <w:rPr>
          <w:rtl w:val="0"/>
        </w:rPr>
        <w:t xml:space="preserve">, 35(10), 1639–1655.</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https://doi.org/10.1080/09537287.2022.2148472</w:t>
        </w:r>
      </w:hyperlink>
      <w:r w:rsidDel="00000000" w:rsidR="00000000" w:rsidRPr="00000000">
        <w:rPr>
          <w:rtl w:val="0"/>
        </w:rPr>
      </w:r>
    </w:p>
    <w:p w:rsidR="00000000" w:rsidDel="00000000" w:rsidP="00000000" w:rsidRDefault="00000000" w:rsidRPr="00000000" w14:paraId="000000F2">
      <w:pPr>
        <w:spacing w:after="240" w:before="240" w:line="276" w:lineRule="auto"/>
        <w:rPr>
          <w:color w:val="1155cc"/>
          <w:u w:val="single"/>
        </w:rPr>
      </w:pPr>
      <w:r w:rsidDel="00000000" w:rsidR="00000000" w:rsidRPr="00000000">
        <w:rPr>
          <w:rtl w:val="0"/>
        </w:rPr>
        <w:t xml:space="preserve">Mannuru, N. R., et al. (2023). Artificial intelligence in developing countries: The impact of generative AI technologies for development. </w:t>
      </w:r>
      <w:r w:rsidDel="00000000" w:rsidR="00000000" w:rsidRPr="00000000">
        <w:rPr>
          <w:i w:val="1"/>
          <w:iCs w:val="1"/>
          <w:rtl w:val="0"/>
        </w:rPr>
        <w:t xml:space="preserve">Information Development</w:t>
      </w:r>
      <w:r w:rsidDel="00000000" w:rsidR="00000000" w:rsidRPr="00000000">
        <w:rPr>
          <w:rtl w:val="0"/>
        </w:rPr>
        <w:t xml:space="preserve">, 39(4).</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https://doi.org/10.1177/02666669231200628</w:t>
        </w:r>
      </w:hyperlink>
      <w:r w:rsidDel="00000000" w:rsidR="00000000" w:rsidRPr="00000000">
        <w:rPr>
          <w:rtl w:val="0"/>
        </w:rPr>
      </w:r>
    </w:p>
    <w:p w:rsidR="00000000" w:rsidDel="00000000" w:rsidP="00000000" w:rsidRDefault="00000000" w:rsidRPr="00000000" w14:paraId="000000F3">
      <w:pPr>
        <w:spacing w:after="240" w:before="240" w:line="276" w:lineRule="auto"/>
        <w:rPr>
          <w:color w:val="1155cc"/>
          <w:u w:val="single"/>
        </w:rPr>
      </w:pPr>
      <w:r w:rsidDel="00000000" w:rsidR="00000000" w:rsidRPr="00000000">
        <w:rPr>
          <w:rtl w:val="0"/>
        </w:rPr>
        <w:t xml:space="preserve">Mhlanga, D. (2021). Artificial intelligence in Industry 4.0 and its impact on sustainable development goals. </w:t>
      </w:r>
      <w:r w:rsidDel="00000000" w:rsidR="00000000" w:rsidRPr="00000000">
        <w:rPr>
          <w:i w:val="1"/>
          <w:iCs w:val="1"/>
          <w:rtl w:val="0"/>
        </w:rPr>
        <w:t xml:space="preserve">Sustainability</w:t>
      </w:r>
      <w:r w:rsidDel="00000000" w:rsidR="00000000" w:rsidRPr="00000000">
        <w:rPr>
          <w:rtl w:val="0"/>
        </w:rPr>
        <w:t xml:space="preserve">, 13(11), 5788.</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https://doi.org/10.3390/su13115788</w:t>
        </w:r>
      </w:hyperlink>
      <w:r w:rsidDel="00000000" w:rsidR="00000000" w:rsidRPr="00000000">
        <w:rPr>
          <w:rtl w:val="0"/>
        </w:rPr>
      </w:r>
    </w:p>
    <w:p w:rsidR="00000000" w:rsidDel="00000000" w:rsidP="00000000" w:rsidRDefault="00000000" w:rsidRPr="00000000" w14:paraId="000000F4">
      <w:pPr>
        <w:spacing w:after="240" w:before="240" w:line="276" w:lineRule="auto"/>
        <w:rPr/>
      </w:pPr>
      <w:r w:rsidDel="00000000" w:rsidR="00000000" w:rsidRPr="00000000">
        <w:rPr>
          <w:rtl w:val="0"/>
        </w:rPr>
        <w:t xml:space="preserve">Mhlanga, D. (2022). Artificial intelligence in developing countries and its impact. </w:t>
      </w:r>
      <w:r w:rsidDel="00000000" w:rsidR="00000000" w:rsidRPr="00000000">
        <w:rPr>
          <w:i w:val="1"/>
          <w:iCs w:val="1"/>
          <w:rtl w:val="0"/>
        </w:rPr>
        <w:t xml:space="preserve">Journal of African Transformation</w:t>
      </w:r>
      <w:r w:rsidDel="00000000" w:rsidR="00000000" w:rsidRPr="00000000">
        <w:rPr>
          <w:rtl w:val="0"/>
        </w:rPr>
        <w:t xml:space="preserve">, 11(2), 45–68.</w:t>
      </w:r>
    </w:p>
    <w:p w:rsidR="00000000" w:rsidDel="00000000" w:rsidP="00000000" w:rsidRDefault="00000000" w:rsidRPr="00000000" w14:paraId="000000F5">
      <w:pPr>
        <w:spacing w:after="240" w:before="240" w:line="276" w:lineRule="auto"/>
        <w:rPr/>
      </w:pPr>
      <w:r w:rsidDel="00000000" w:rsidR="00000000" w:rsidRPr="00000000">
        <w:rPr>
          <w:rtl w:val="0"/>
        </w:rPr>
        <w:t xml:space="preserve">Strusani, D., &amp; Houngbonon, G. V. (2019). The role of artificial intelligence in supporting development in emerging markets. </w:t>
      </w:r>
      <w:r w:rsidDel="00000000" w:rsidR="00000000" w:rsidRPr="00000000">
        <w:rPr>
          <w:i w:val="1"/>
          <w:iCs w:val="1"/>
          <w:rtl w:val="0"/>
        </w:rPr>
        <w:t xml:space="preserve">IFC Working Paper</w:t>
      </w:r>
      <w:r w:rsidDel="00000000" w:rsidR="00000000" w:rsidRPr="00000000">
        <w:rPr>
          <w:rtl w:val="0"/>
        </w:rPr>
        <w:t xml:space="preserve">.</w:t>
      </w:r>
    </w:p>
    <w:p w:rsidR="00000000" w:rsidDel="00000000" w:rsidP="00000000" w:rsidRDefault="00000000" w:rsidRPr="00000000" w14:paraId="000000F6">
      <w:pPr>
        <w:spacing w:after="240" w:before="240" w:line="276" w:lineRule="auto"/>
        <w:rPr/>
      </w:pPr>
      <w:r w:rsidDel="00000000" w:rsidR="00000000" w:rsidRPr="00000000">
        <w:rPr>
          <w:rtl w:val="0"/>
        </w:rPr>
        <w:t xml:space="preserve">Thakkar, S. (2024). The impact of AI on financial inclusion in emerging markets. </w:t>
      </w:r>
      <w:r w:rsidDel="00000000" w:rsidR="00000000" w:rsidRPr="00000000">
        <w:rPr>
          <w:i w:val="1"/>
          <w:iCs w:val="1"/>
          <w:rtl w:val="0"/>
        </w:rPr>
        <w:t xml:space="preserve">International Journal of Computer Engineering and Technology (IJCET)</w:t>
      </w:r>
      <w:r w:rsidDel="00000000" w:rsidR="00000000" w:rsidRPr="00000000">
        <w:rPr>
          <w:rtl w:val="0"/>
        </w:rPr>
        <w:t xml:space="preserve">, 15(1), 266–277.</w:t>
      </w:r>
    </w:p>
    <w:p w:rsidR="00000000" w:rsidDel="00000000" w:rsidP="00000000" w:rsidRDefault="00000000" w:rsidRPr="00000000" w14:paraId="000000F7">
      <w:pPr>
        <w:spacing w:after="240" w:before="240" w:line="276" w:lineRule="auto"/>
        <w:rPr>
          <w:b w:val="1"/>
          <w:bCs w:val="1"/>
          <w:color w:val="ee0000"/>
        </w:rPr>
      </w:pPr>
      <w:r w:rsidDel="00000000" w:rsidR="00000000" w:rsidRPr="00000000">
        <w:rPr>
          <w:rtl w:val="0"/>
        </w:rPr>
        <w:t xml:space="preserve">Yin, R. K. (2014). </w:t>
      </w:r>
      <w:r w:rsidDel="00000000" w:rsidR="00000000" w:rsidRPr="00000000">
        <w:rPr>
          <w:i w:val="1"/>
          <w:iCs w:val="1"/>
          <w:rtl w:val="0"/>
        </w:rPr>
        <w:t xml:space="preserve">Case study research: Design and methods</w:t>
      </w:r>
      <w:r w:rsidDel="00000000" w:rsidR="00000000" w:rsidRPr="00000000">
        <w:rPr>
          <w:rtl w:val="0"/>
        </w:rPr>
        <w:t xml:space="preserve"> (5th ed.). Sage Publications.</w:t>
      </w:r>
      <w:r w:rsidDel="00000000" w:rsidR="00000000" w:rsidRPr="00000000">
        <w:rPr>
          <w:rtl w:val="0"/>
        </w:rPr>
      </w:r>
    </w:p>
    <w:p w:rsidR="00000000" w:rsidDel="00000000" w:rsidP="00000000" w:rsidRDefault="00000000" w:rsidRPr="00000000" w14:paraId="000000F8">
      <w:pPr>
        <w:spacing w:after="0" w:line="360" w:lineRule="auto"/>
        <w:jc w:val="both"/>
        <w:rPr>
          <w:rFonts w:ascii="Calibri" w:cs="Calibri" w:eastAsia="Calibri" w:hAnsi="Calibri"/>
          <w:sz w:val="22"/>
          <w:szCs w:val="22"/>
        </w:rPr>
      </w:pPr>
      <w:r w:rsidDel="00000000" w:rsidR="00000000" w:rsidRPr="00000000">
        <w:rPr>
          <w:rtl w:val="0"/>
        </w:rPr>
      </w:r>
    </w:p>
    <w:sectPr>
      <w:headerReference r:id="rId25"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691564644"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691564645"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86" w:hanging="360.0000000000002"/>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jc w:val="left"/>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semiHidden w:val="1"/>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link w:val="Ttulo1"/>
    <w:uiPriority w:val="9"/>
    <w:rsid w:val="004A338B"/>
    <w:rPr>
      <w:rFonts w:ascii="Arial" w:hAnsi="Arial" w:cstheme="majorBidi" w:eastAsiaTheme="majorEastAsia"/>
      <w:b w:val="1"/>
      <w:color w:val="000000" w:themeColor="text1"/>
      <w:sz w:val="24"/>
      <w:szCs w:val="26"/>
    </w:rPr>
  </w:style>
  <w:style w:type="paragraph" w:styleId="CabealhodoSumrio">
    <w:name w:val="TOC Heading"/>
    <w:basedOn w:val="Ttulo1"/>
    <w:next w:val="Normal"/>
    <w:uiPriority w:val="39"/>
    <w:unhideWhenUsed w:val="1"/>
    <w:qFormat w:val="1"/>
    <w:rsid w:val="00FA5B0A"/>
    <w:pPr>
      <w:outlineLvl w:val="9"/>
    </w:pPr>
    <w:rPr>
      <w:lang w:eastAsia="pt-BR"/>
    </w:rPr>
  </w:style>
  <w:style w:type="character" w:styleId="Ttulo2Char" w:customStyle="1">
    <w:name w:val="Título 2 Char"/>
    <w:basedOn w:val="Fontepargpadro"/>
    <w:link w:val="Ttulo2"/>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link w:val="Ttulo3"/>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link w:val="Ttulo4"/>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80/09537287.2022.2148472" TargetMode="External"/><Relationship Id="rId22" Type="http://schemas.openxmlformats.org/officeDocument/2006/relationships/hyperlink" Target="https://doi.org/10.1177/02666669231200628" TargetMode="External"/><Relationship Id="rId21" Type="http://schemas.openxmlformats.org/officeDocument/2006/relationships/hyperlink" Target="https://doi.org/10.1177/02666669231200628" TargetMode="External"/><Relationship Id="rId24" Type="http://schemas.openxmlformats.org/officeDocument/2006/relationships/hyperlink" Target="https://doi.org/10.3390/su13115788" TargetMode="External"/><Relationship Id="rId23" Type="http://schemas.openxmlformats.org/officeDocument/2006/relationships/hyperlink" Target="https://doi.org/10.3390/su131157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1594/csitrj.v4i3.629" TargetMode="External"/><Relationship Id="rId25"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11" Type="http://schemas.openxmlformats.org/officeDocument/2006/relationships/hyperlink" Target="https://doi.org/10.2478/izajolp-2019-0004" TargetMode="External"/><Relationship Id="rId10" Type="http://schemas.openxmlformats.org/officeDocument/2006/relationships/hyperlink" Target="https://doi.org/10.51594/csitrj.v4i3.629" TargetMode="External"/><Relationship Id="rId13" Type="http://schemas.openxmlformats.org/officeDocument/2006/relationships/hyperlink" Target="https://doi.org/10.1080/10438599.2020.1848976" TargetMode="External"/><Relationship Id="rId12" Type="http://schemas.openxmlformats.org/officeDocument/2006/relationships/hyperlink" Target="https://doi.org/10.2478/izajolp-2019-0004" TargetMode="External"/><Relationship Id="rId15" Type="http://schemas.openxmlformats.org/officeDocument/2006/relationships/hyperlink" Target="https://doi.org/10.1016/j.ijresmar.2021.09.002" TargetMode="External"/><Relationship Id="rId14" Type="http://schemas.openxmlformats.org/officeDocument/2006/relationships/hyperlink" Target="https://doi.org/10.1080/10438599.2020.1848976" TargetMode="External"/><Relationship Id="rId17" Type="http://schemas.openxmlformats.org/officeDocument/2006/relationships/hyperlink" Target="https://doi.org/10.1109/MITP.2020.2979598" TargetMode="External"/><Relationship Id="rId16" Type="http://schemas.openxmlformats.org/officeDocument/2006/relationships/hyperlink" Target="https://doi.org/10.1016/j.ijresmar.2021.09.002" TargetMode="External"/><Relationship Id="rId19" Type="http://schemas.openxmlformats.org/officeDocument/2006/relationships/hyperlink" Target="https://doi.org/10.1080/09537287.2022.2148472" TargetMode="External"/><Relationship Id="rId18" Type="http://schemas.openxmlformats.org/officeDocument/2006/relationships/hyperlink" Target="https://doi.org/10.1109/MITP.2020.297959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X3naIO2Vp5++LhLo9F/iQ1u2hQ==">CgMxLjAyDmgucnM1ZGM1bjBobXAxMg5oLmd5YzhlbHJnNm1lOTIOaC4yOWV5MmxyYWF3YXAyDmguaTR2OTNzZGh1ZDFpMg5oLjk4ZWgzMXMzZ2t3ejIOaC5jcDZiZ3Y1aHpoa3QyDmgueW1qNWNwOXo1bnJtMg5oLno0d2V1NzF0Mmo3ZzIOaC5lamR4bGxyY3czMHI4AHIhMUl6SGJXVTN4Ty1YYVIyMDdySUpOM1dtMFBKNnFDWWVj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2025-10-29T03:43:00Z</dcterms:created>
  <dc:creator>rodrigo a</dc:creator>
</cp:coreProperties>
</file>