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Plano de Negócio – Nautic.Bot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57" w:line="259" w:lineRule="auto"/>
        <w:ind w:left="0" w:right="-45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486400" cy="12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3767275"/>
                          <a:ext cx="5486400" cy="12700"/>
                          <a:chOff x="2602800" y="3767275"/>
                          <a:chExt cx="5486400" cy="19075"/>
                        </a:xfrm>
                      </wpg:grpSpPr>
                      <wpg:grpSp>
                        <wpg:cNvGrpSpPr/>
                        <wpg:grpSpPr>
                          <a:xfrm>
                            <a:off x="2602800" y="3773650"/>
                            <a:ext cx="5486400" cy="12700"/>
                            <a:chOff x="0" y="0"/>
                            <a:chExt cx="54864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86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486400" cy="0"/>
                            </a:xfrm>
                            <a:custGeom>
                              <a:rect b="b" l="l" r="r" t="t"/>
                              <a:pathLst>
                                <a:path extrusionOk="0" h="120000" w="5486400">
                                  <a:moveTo>
                                    <a:pt x="0" y="0"/>
                                  </a:moveTo>
                                  <a:lnTo>
                                    <a:pt x="54864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F81B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64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265" w:hanging="280"/>
        <w:rPr/>
      </w:pPr>
      <w:r w:rsidDel="00000000" w:rsidR="00000000" w:rsidRPr="00000000">
        <w:rPr>
          <w:rtl w:val="0"/>
        </w:rPr>
        <w:t xml:space="preserve">Sumário Executivo </w:t>
      </w:r>
    </w:p>
    <w:p w:rsidR="00000000" w:rsidDel="00000000" w:rsidP="00000000" w:rsidRDefault="00000000" w:rsidRPr="00000000" w14:paraId="00000004">
      <w:pPr>
        <w:spacing w:after="548" w:lineRule="auto"/>
        <w:ind w:left="-5" w:firstLine="0"/>
        <w:rPr/>
      </w:pPr>
      <w:r w:rsidDel="00000000" w:rsidR="00000000" w:rsidRPr="00000000">
        <w:rPr>
          <w:rtl w:val="0"/>
        </w:rPr>
        <w:t xml:space="preserve">A Nautic.Bot é uma startup de tecnologia náutica dedicada ao desenvolvimento de turbinas aquáticas portáteis e recarregáveis, voltadas para o salvamento marítimo e uso recreativo. O produto principal é uma turbina elétrica leve, compacta e controlada por joystick sem fio, com bateria de lítio de alta eficiência e design ergonômico. A empresa oferece uma solução acessível, sustentável e tecnicamente robusta, com suporte nacional e modelo de receita OPEX, garantindo previsibilidade financeira e fidelização de clientes. </w:t>
      </w:r>
    </w:p>
    <w:p w:rsidR="00000000" w:rsidDel="00000000" w:rsidP="00000000" w:rsidRDefault="00000000" w:rsidRPr="00000000" w14:paraId="00000005">
      <w:pPr>
        <w:pStyle w:val="Heading1"/>
        <w:ind w:left="265" w:hanging="280"/>
        <w:rPr/>
      </w:pPr>
      <w:r w:rsidDel="00000000" w:rsidR="00000000" w:rsidRPr="00000000">
        <w:rPr>
          <w:rtl w:val="0"/>
        </w:rPr>
        <w:t xml:space="preserve">Modelo de Receita 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A Nautic.Bot adota um modelo integralmente baseado em OPEX, onde o cliente paga pelo uso mensal do equipamento, sem necessidade de compra ou investimento inicial. Todo o pacote inclui operação, manutenção, suporte e atualizações. O valor final do pacote considera margem de lucro com a venda da turbina.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5" w:lineRule="auto"/>
        <w:ind w:left="10"/>
        <w:rPr/>
      </w:pPr>
      <w:r w:rsidDel="00000000" w:rsidR="00000000" w:rsidRPr="00000000">
        <w:rPr>
          <w:rtl w:val="0"/>
        </w:rPr>
        <w:t xml:space="preserve">Assinatura mensal: R$ 150/unidade – cobre suporte técnico, manutenção preventiva e corretiva, modernização de hardware e atualizações de software.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548" w:lineRule="auto"/>
        <w:ind w:left="10"/>
        <w:rPr/>
      </w:pPr>
      <w:r w:rsidDel="00000000" w:rsidR="00000000" w:rsidRPr="00000000">
        <w:rPr>
          <w:rtl w:val="0"/>
        </w:rPr>
        <w:t xml:space="preserve">Valor de implantação: R$ 2.500/unidade – custo inicial para ativação e personalização da turbina, incluindo logística e integração do sistema. </w:t>
      </w:r>
    </w:p>
    <w:p w:rsidR="00000000" w:rsidDel="00000000" w:rsidP="00000000" w:rsidRDefault="00000000" w:rsidRPr="00000000" w14:paraId="00000009">
      <w:pPr>
        <w:pStyle w:val="Heading1"/>
        <w:ind w:left="265" w:hanging="280"/>
        <w:rPr/>
      </w:pPr>
      <w:r w:rsidDel="00000000" w:rsidR="00000000" w:rsidRPr="00000000">
        <w:rPr>
          <w:rtl w:val="0"/>
        </w:rPr>
        <w:t xml:space="preserve">Análise de Mercado e Oportunidade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 acordo com a Business Research Insights (2023), o mercado global de serviços de salvamento marítimo foi estimado em aproximadamente US$ 5,78 bilhões, com projeção de crescimento para US$ 7,8 bilhões até 2032. Embora esses números indiquem uma tendência positiva, é fundamental contextualizá-los para o cenário nacional. O Brasil apresenta mais de 8.000 km de litoral navegável e cerca de 500 mil embarcações registradas (dados da Marinha do Brasil, 2024). Além disso, há crescimento expressivo de esportes aquáticos, turismo náutico e operações de resgate fluvial e costeiro, o que representa um mercado potencial robusto para dispositivos portáteis de propulsão elétrica e equipamentos de salvamento.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Atualmente, o mercado brasileiro é dominado por produtos importados e de alto custo, como os da Seabob (Alemanha), Yamaha Seascooter (Japão) e Sublue (China), que variam entre US$ 3.000 e US$ 10.000 por unidade. Essas soluções atendem majoritariamente ao segmento premium, limitando seu alcance. Nesse contexto, a Nautic.Bot preenche uma lacuna estratégica ao oferecer equipamentos acessíveis, sustentáveis e com suporte nacional, viabilizados por um modelo de assinatura.</w:t>
      </w:r>
    </w:p>
    <w:p w:rsidR="00000000" w:rsidDel="00000000" w:rsidP="00000000" w:rsidRDefault="00000000" w:rsidRPr="00000000" w14:paraId="0000000C">
      <w:pPr>
        <w:spacing w:after="548" w:lineRule="auto"/>
        <w:ind w:left="-5" w:firstLine="0"/>
        <w:rPr/>
      </w:pPr>
      <w:r w:rsidDel="00000000" w:rsidR="00000000" w:rsidRPr="00000000">
        <w:rPr>
          <w:rtl w:val="0"/>
        </w:rPr>
        <w:t xml:space="preserve">Link:https://www.businessresearchinsights.com/pt/market-reports/marine-sa lvage-services-market-116079 </w:t>
      </w:r>
    </w:p>
    <w:p w:rsidR="00000000" w:rsidDel="00000000" w:rsidP="00000000" w:rsidRDefault="00000000" w:rsidRPr="00000000" w14:paraId="0000000D">
      <w:pPr>
        <w:pStyle w:val="Heading1"/>
        <w:ind w:left="265" w:hanging="280"/>
        <w:rPr/>
      </w:pPr>
      <w:r w:rsidDel="00000000" w:rsidR="00000000" w:rsidRPr="00000000">
        <w:rPr>
          <w:rtl w:val="0"/>
        </w:rPr>
        <w:t xml:space="preserve">Plano Operacional e Produção Internacional </w:t>
      </w:r>
    </w:p>
    <w:p w:rsidR="00000000" w:rsidDel="00000000" w:rsidP="00000000" w:rsidRDefault="00000000" w:rsidRPr="00000000" w14:paraId="0000000E">
      <w:pPr>
        <w:ind w:left="-5" w:firstLine="0"/>
        <w:rPr/>
      </w:pPr>
      <w:r w:rsidDel="00000000" w:rsidR="00000000" w:rsidRPr="00000000">
        <w:rPr>
          <w:rtl w:val="0"/>
        </w:rPr>
        <w:t xml:space="preserve">A sede administrativa da Nautic.Bot será localizada em São Paulo, enquanto a fabricação e montagem ocorrem na China, em parceria com fabricantes. O modelo internacional permite redução de custos, escala industrial e controle de qualidade. A empresa mantém no Brasil as operações de P&amp;D, logística e suporte técnico, garantindo excelência e proximidade com os clientes. </w:t>
      </w:r>
    </w:p>
    <w:p w:rsidR="00000000" w:rsidDel="00000000" w:rsidP="00000000" w:rsidRDefault="00000000" w:rsidRPr="00000000" w14:paraId="0000000F">
      <w:pPr>
        <w:pStyle w:val="Heading1"/>
        <w:ind w:left="265" w:hanging="280"/>
        <w:rPr/>
      </w:pPr>
      <w:r w:rsidDel="00000000" w:rsidR="00000000" w:rsidRPr="00000000">
        <w:rPr>
          <w:rtl w:val="0"/>
        </w:rPr>
        <w:t xml:space="preserve">Estratégia de Marketing e Comercialização </w:t>
      </w:r>
    </w:p>
    <w:p w:rsidR="00000000" w:rsidDel="00000000" w:rsidP="00000000" w:rsidRDefault="00000000" w:rsidRPr="00000000" w14:paraId="00000010">
      <w:pPr>
        <w:spacing w:after="548" w:lineRule="auto"/>
        <w:ind w:left="-5" w:firstLine="0"/>
        <w:rPr/>
      </w:pPr>
      <w:r w:rsidDel="00000000" w:rsidR="00000000" w:rsidRPr="00000000">
        <w:rPr>
          <w:rtl w:val="0"/>
        </w:rPr>
        <w:t xml:space="preserve">A estratégia de marketing é baseada em presença digital, parcerias estratégicas e demonstrações práticas. Serão realizadas campanhas online com influenciadores do segmento náutico, presença em feiras como Rio Boat Show e SP Boat Show, e parcerias com resorts, marinas e clubes de mergulho. </w:t>
      </w:r>
    </w:p>
    <w:p w:rsidR="00000000" w:rsidDel="00000000" w:rsidP="00000000" w:rsidRDefault="00000000" w:rsidRPr="00000000" w14:paraId="00000011">
      <w:pPr>
        <w:pStyle w:val="Heading1"/>
        <w:ind w:left="265" w:hanging="280"/>
        <w:rPr/>
      </w:pPr>
      <w:r w:rsidDel="00000000" w:rsidR="00000000" w:rsidRPr="00000000">
        <w:rPr>
          <w:rtl w:val="0"/>
        </w:rPr>
        <w:t xml:space="preserve">Planejamento Financeiro (Dados 2028–2032) </w:t>
      </w:r>
    </w:p>
    <w:p w:rsidR="00000000" w:rsidDel="00000000" w:rsidP="00000000" w:rsidRDefault="00000000" w:rsidRPr="00000000" w14:paraId="00000012">
      <w:pPr>
        <w:spacing w:after="7" w:lineRule="auto"/>
        <w:ind w:left="-5" w:firstLine="0"/>
        <w:rPr/>
      </w:pPr>
      <w:r w:rsidDel="00000000" w:rsidR="00000000" w:rsidRPr="00000000">
        <w:rPr>
          <w:rtl w:val="0"/>
        </w:rPr>
        <w:t xml:space="preserve">Os dados financeiros a seguir foram extraídos da planilha </w:t>
      </w:r>
    </w:p>
    <w:p w:rsidR="00000000" w:rsidDel="00000000" w:rsidP="00000000" w:rsidRDefault="00000000" w:rsidRPr="00000000" w14:paraId="00000013">
      <w:pPr>
        <w:ind w:left="-5" w:firstLine="0"/>
        <w:rPr/>
      </w:pPr>
      <w:r w:rsidDel="00000000" w:rsidR="00000000" w:rsidRPr="00000000">
        <w:rPr>
          <w:rtl w:val="0"/>
        </w:rPr>
        <w:t xml:space="preserve">Modelo_Mercado_Consolidado_V2ALT.xlsx,(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Modelo_Mercado_Consolidado_V2ALT</w:t>
        </w:r>
      </w:hyperlink>
      <w:r w:rsidDel="00000000" w:rsidR="00000000" w:rsidRPr="00000000">
        <w:rPr>
          <w:rtl w:val="0"/>
        </w:rPr>
        <w:t xml:space="preserve">) considerando o período de 2028 a 2032. </w:t>
      </w:r>
    </w:p>
    <w:p w:rsidR="00000000" w:rsidDel="00000000" w:rsidP="00000000" w:rsidRDefault="00000000" w:rsidRPr="00000000" w14:paraId="00000014">
      <w:pPr>
        <w:tabs>
          <w:tab w:val="center" w:leader="none" w:pos="1783"/>
          <w:tab w:val="center" w:leader="none" w:pos="3220"/>
          <w:tab w:val="center" w:leader="none" w:pos="4883"/>
          <w:tab w:val="center" w:leader="none" w:pos="6129"/>
          <w:tab w:val="center" w:leader="none" w:pos="7587"/>
        </w:tabs>
        <w:spacing w:after="20" w:lineRule="auto"/>
        <w:ind w:left="-15" w:firstLine="0"/>
        <w:rPr/>
      </w:pPr>
      <w:r w:rsidDel="00000000" w:rsidR="00000000" w:rsidRPr="00000000">
        <w:rPr>
          <w:rtl w:val="0"/>
        </w:rPr>
        <w:t xml:space="preserve">Ano </w:t>
        <w:tab/>
        <w:t xml:space="preserve">Receita </w:t>
        <w:tab/>
        <w:t xml:space="preserve">COGS + </w:t>
        <w:tab/>
        <w:t xml:space="preserve">Lucro Bruto </w:t>
        <w:tab/>
        <w:t xml:space="preserve">EBITDA </w:t>
        <w:tab/>
        <w:t xml:space="preserve">Margem </w:t>
      </w:r>
    </w:p>
    <w:p w:rsidR="00000000" w:rsidDel="00000000" w:rsidP="00000000" w:rsidRDefault="00000000" w:rsidRPr="00000000" w14:paraId="00000015">
      <w:pPr>
        <w:ind w:left="2880" w:hanging="1440"/>
        <w:rPr/>
      </w:pPr>
      <w:r w:rsidDel="00000000" w:rsidR="00000000" w:rsidRPr="00000000">
        <w:rPr>
          <w:rtl w:val="0"/>
        </w:rPr>
        <w:t xml:space="preserve">Líquida (R$) </w:t>
        <w:tab/>
        <w:t xml:space="preserve">Manutenção </w:t>
        <w:tab/>
        <w:t xml:space="preserve">(R$) </w:t>
        <w:tab/>
        <w:t xml:space="preserve">(R$) </w:t>
        <w:tab/>
        <w:t xml:space="preserve">EBITDA (%) (R$)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1440"/>
        <w:rPr/>
      </w:pPr>
      <w:r w:rsidDel="00000000" w:rsidR="00000000" w:rsidRPr="00000000">
        <w:rPr>
          <w:rtl w:val="0"/>
        </w:rPr>
        <w:t xml:space="preserve">371.348 </w:t>
        <w:tab/>
        <w:t xml:space="preserve">407.467 </w:t>
        <w:tab/>
        <w:t xml:space="preserve">-36.119 </w:t>
        <w:tab/>
        <w:t xml:space="preserve">-156.119 </w:t>
        <w:tab/>
        <w:t xml:space="preserve">-42,0%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1440"/>
        <w:rPr/>
      </w:pPr>
      <w:r w:rsidDel="00000000" w:rsidR="00000000" w:rsidRPr="00000000">
        <w:rPr>
          <w:rtl w:val="0"/>
        </w:rPr>
        <w:t xml:space="preserve">1.269.492 </w:t>
        <w:tab/>
        <w:t xml:space="preserve">1.240.688 </w:t>
        <w:tab/>
        <w:t xml:space="preserve">28.804 </w:t>
        <w:tab/>
        <w:t xml:space="preserve">-91.196 </w:t>
        <w:tab/>
        <w:t xml:space="preserve">-7,2%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1440"/>
        <w:rPr/>
      </w:pPr>
      <w:r w:rsidDel="00000000" w:rsidR="00000000" w:rsidRPr="00000000">
        <w:rPr>
          <w:rtl w:val="0"/>
        </w:rPr>
        <w:t xml:space="preserve">2.478.532 </w:t>
        <w:tab/>
        <w:t xml:space="preserve">2.110.486 </w:t>
        <w:tab/>
        <w:t xml:space="preserve">368.046 </w:t>
        <w:tab/>
        <w:t xml:space="preserve">248.046 </w:t>
        <w:tab/>
        <w:t xml:space="preserve">10,0%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1440"/>
        <w:rPr/>
      </w:pPr>
      <w:r w:rsidDel="00000000" w:rsidR="00000000" w:rsidRPr="00000000">
        <w:rPr>
          <w:rtl w:val="0"/>
        </w:rPr>
        <w:t xml:space="preserve">2.327.402 </w:t>
        <w:tab/>
        <w:t xml:space="preserve">1.183.259 </w:t>
        <w:tab/>
        <w:t xml:space="preserve">1.144.143 </w:t>
        <w:tab/>
        <w:t xml:space="preserve">1.024.143 </w:t>
        <w:tab/>
        <w:t xml:space="preserve">44,0%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1440"/>
        <w:rPr/>
      </w:pPr>
      <w:r w:rsidDel="00000000" w:rsidR="00000000" w:rsidRPr="00000000">
        <w:rPr>
          <w:rtl w:val="0"/>
        </w:rPr>
        <w:t xml:space="preserve">2.159.000 </w:t>
        <w:tab/>
        <w:t xml:space="preserve">617.779 </w:t>
        <w:tab/>
        <w:t xml:space="preserve">1.541.221 </w:t>
        <w:tab/>
        <w:t xml:space="preserve">1.421.221 </w:t>
        <w:tab/>
        <w:t xml:space="preserve">65,8% </w:t>
      </w:r>
    </w:p>
    <w:p w:rsidR="00000000" w:rsidDel="00000000" w:rsidP="00000000" w:rsidRDefault="00000000" w:rsidRPr="00000000" w14:paraId="0000001B">
      <w:pPr>
        <w:ind w:left="-5" w:firstLine="0"/>
        <w:rPr/>
      </w:pPr>
      <w:r w:rsidDel="00000000" w:rsidR="00000000" w:rsidRPr="00000000">
        <w:rPr>
          <w:rtl w:val="0"/>
        </w:rPr>
        <w:t xml:space="preserve">Observa-se que o negócio apresenta curva de maturação gradual, com EBITDA negativo nos dois primeiros anos (2028–2029) devido aos custos iniciais de implantação e escalonamento da produção. A partir de 2030, o modelo torna-se lucrativo, atingindo margens EBITDA de 44% em 2031 e 65,8% em 2032, sustentadas pelo aumento de contratos recorrentes e diluição de custos fixos. </w:t>
      </w:r>
    </w:p>
    <w:p w:rsidR="00000000" w:rsidDel="00000000" w:rsidP="00000000" w:rsidRDefault="00000000" w:rsidRPr="00000000" w14:paraId="0000001C">
      <w:pPr>
        <w:spacing w:after="548" w:lineRule="auto"/>
        <w:ind w:left="-5" w:firstLine="0"/>
        <w:rPr/>
      </w:pPr>
      <w:r w:rsidDel="00000000" w:rsidR="00000000" w:rsidRPr="00000000">
        <w:rPr>
          <w:rtl w:val="0"/>
        </w:rPr>
        <w:t xml:space="preserve">O ponto de equilíbrio está projetado para ocorrer entre 2029 e 2030, e o playback (tempo necessário para que o fluxo de caixa acumulado de um projeto se iguale ao capital inicialmente investido) estimado é de aproximadamente três anos após o início da operação em escala. A estrutura de custos contempla impostos de 15% (Simples Nacional), manutenção de 10% e despesas gerais e administrativas de R$ 120 mil anuais. </w:t>
      </w:r>
    </w:p>
    <w:p w:rsidR="00000000" w:rsidDel="00000000" w:rsidP="00000000" w:rsidRDefault="00000000" w:rsidRPr="00000000" w14:paraId="0000001D">
      <w:pPr>
        <w:spacing w:after="548" w:lineRule="auto"/>
        <w:ind w:left="-5" w:firstLine="0"/>
        <w:rPr/>
      </w:pPr>
      <w:r w:rsidDel="00000000" w:rsidR="00000000" w:rsidRPr="00000000">
        <w:rPr>
          <w:rtl w:val="0"/>
        </w:rPr>
        <w:t xml:space="preserve">Vale destacar que essa projeção financeira é o que a Nautic.Bot pretende atingir a partir do primeiro cliente âncora e aportes ou  investimentos iniciais. Todos esses valores são passíveis de alterações.</w:t>
      </w:r>
    </w:p>
    <w:p w:rsidR="00000000" w:rsidDel="00000000" w:rsidP="00000000" w:rsidRDefault="00000000" w:rsidRPr="00000000" w14:paraId="0000001E">
      <w:pPr>
        <w:pStyle w:val="Heading1"/>
        <w:ind w:left="265" w:hanging="280"/>
        <w:rPr/>
      </w:pPr>
      <w:r w:rsidDel="00000000" w:rsidR="00000000" w:rsidRPr="00000000">
        <w:rPr>
          <w:rtl w:val="0"/>
        </w:rPr>
        <w:t xml:space="preserve">Riscos e Estratégias de Mitigação </w:t>
      </w:r>
    </w:p>
    <w:p w:rsidR="00000000" w:rsidDel="00000000" w:rsidP="00000000" w:rsidRDefault="00000000" w:rsidRPr="00000000" w14:paraId="0000001F">
      <w:pPr>
        <w:ind w:left="-5" w:firstLine="0"/>
        <w:rPr/>
      </w:pPr>
      <w:r w:rsidDel="00000000" w:rsidR="00000000" w:rsidRPr="00000000">
        <w:rPr>
          <w:rtl w:val="0"/>
        </w:rPr>
        <w:t xml:space="preserve">Os principais riscos do negócio envolvem variações cambiais, dependência de componentes importados e certificações técnicas. As estratégias de mitigação incluem contratos de longo prazo com fornecedores chineses, hedge cambial e nacionalização progressiva da cadeia de suprimentos.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left="265" w:hanging="280"/>
        <w:rPr/>
      </w:pPr>
      <w:r w:rsidDel="00000000" w:rsidR="00000000" w:rsidRPr="00000000">
        <w:rPr>
          <w:rtl w:val="0"/>
        </w:rPr>
        <w:t xml:space="preserve">Análise de Concorrência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análise competitiva identifica três grandes grupos:</w:t>
        <w:br w:type="textWrapping"/>
        <w:br w:type="textWrapping"/>
        <w:t xml:space="preserve">1. Fabricantes internacionais premium: Seabob, Yamaha Seascooter e Sublue apresentam produtos avançados, porém de custo elevado e suporte restrito.</w:t>
        <w:br w:type="textWrapping"/>
        <w:t xml:space="preserve">2. Importadores nacionais independentes: Pequenas revendas oferecem equipamentos importados, mas sem estrutura de manutenção, atualização de firmware ou garantia estendida, o que aumenta o custo de propriedade.</w:t>
        <w:br w:type="textWrapping"/>
        <w:t xml:space="preserve">3. Nautic.Bot: Diferencia-se ao oferecer assinatura mensal de R$ 150/unidade e implantação de R$ 2.500/unidade, incluindo logística, personalização e suporte técnico. Essa abordagem garante recorrência de receita, fidelização do cliente e barreiras de entrada por meio da integração entre hardware, software e serviço técnico local.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empresa ainda pode explorar alianças estratégicas com órgãos públicos de salvamento, marinas e resorts, fortalecendo o posicionamento como solução nacional completa para propulsão aquática e resgate portátil.</w:t>
      </w:r>
    </w:p>
    <w:p w:rsidR="00000000" w:rsidDel="00000000" w:rsidP="00000000" w:rsidRDefault="00000000" w:rsidRPr="00000000" w14:paraId="00000025">
      <w:pPr>
        <w:spacing w:after="5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ind w:left="265" w:hanging="280"/>
        <w:rPr/>
      </w:pPr>
      <w:r w:rsidDel="00000000" w:rsidR="00000000" w:rsidRPr="00000000">
        <w:rPr>
          <w:rtl w:val="0"/>
        </w:rPr>
        <w:t xml:space="preserve">Aspectos Regulatórios e Ambientais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Nautic.Bot está alinhada às normas da Marinha do Brasil e à ABNT NBR 15468, que trata da segurança de equipamentos de propulsão subaquática. O plano prevê certificação de conformidade pelo INMETRO, bem como licenciamento ambiental simplificado, considerando o uso em ecossistemas costeiros e fluviais.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 ponto de vista ambiental, o produto emprega motores elétricos selados, com zero emissão direta e baixo ruído subaquático, reduzindo impactos sobre a fauna marinha. As baterias de íon-lítio recicláveis são recolhidas via programas de logística reversa e reaproveitamento de materiais, assegurando o cumprimento de políticas de economia circular.</w:t>
      </w:r>
    </w:p>
    <w:p w:rsidR="00000000" w:rsidDel="00000000" w:rsidP="00000000" w:rsidRDefault="00000000" w:rsidRPr="00000000" w14:paraId="00000029">
      <w:pPr>
        <w:spacing w:after="5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Conclusão e Potencial de Investimento </w:t>
      </w:r>
    </w:p>
    <w:p w:rsidR="00000000" w:rsidDel="00000000" w:rsidP="00000000" w:rsidRDefault="00000000" w:rsidRPr="00000000" w14:paraId="0000002B">
      <w:pPr>
        <w:spacing w:after="5" w:lineRule="auto"/>
        <w:ind w:left="-5" w:firstLine="0"/>
        <w:rPr/>
      </w:pPr>
      <w:r w:rsidDel="00000000" w:rsidR="00000000" w:rsidRPr="00000000">
        <w:rPr>
          <w:rtl w:val="0"/>
        </w:rPr>
        <w:t xml:space="preserve">A Nautic.Bot combina tecnologia, sustentabilidade e escalabilidade em um modelo de negócio recorrente e altamente rentável. Com a projeção de mais de 1.200 turbinas ativas até 2032 e EBITDA crescente acima de R$ 1,4 milhão, o projeto demonstra viabilidade econômica e potencial de expansão global. O modelo de negócio garante receita previsível e fidelização de clientes, posicionando a Nautic.Bot como uma oportunidade sólida para investidores interessados em inovação náutica e impacto positivo. </w:t>
      </w:r>
    </w:p>
    <w:p w:rsidR="00000000" w:rsidDel="00000000" w:rsidP="00000000" w:rsidRDefault="00000000" w:rsidRPr="00000000" w14:paraId="0000002C">
      <w:pPr>
        <w:spacing w:after="5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5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0" w:hanging="1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2028"/>
      <w:numFmt w:val="decimal"/>
      <w:lvlText w:val="%1"/>
      <w:lvlJc w:val="left"/>
      <w:pPr>
        <w:ind w:left="1440" w:hanging="144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16" w:line="26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lam_kPP7pWWF_tC8XKAL4UjUfrsmaxxY6YpKzra5274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