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EF66" w14:textId="77777777" w:rsidR="00944661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B8CA85" wp14:editId="083E3E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312823307" name="Drawing 0" descr="1b5e5c57d-68f4-47bf-a3f4-139dd7e71f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b5e5c57d-68f4-47bf-a3f4-139dd7e71fc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3ED93" w14:textId="77777777" w:rsidR="0094466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4262"/>
        <w:gridCol w:w="2098"/>
        <w:gridCol w:w="2247"/>
      </w:tblGrid>
      <w:tr w:rsidR="00944661" w14:paraId="05E70A7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gridSpan w:val="2"/>
            <w:tcBorders>
              <w:top w:val="single" w:sz="12" w:space="0" w:color="EBE0D1"/>
              <w:left w:val="single" w:sz="12" w:space="0" w:color="EBE0D1"/>
              <w:bottom w:val="single" w:sz="12" w:space="0" w:color="B2855B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9E1238" w14:textId="77777777" w:rsidR="00944661" w:rsidRDefault="00000000">
            <w:pPr>
              <w:spacing w:before="120" w:after="120" w:line="300" w:lineRule="auto"/>
              <w:jc w:val="center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Preparado para: </w:t>
            </w:r>
          </w:p>
        </w:tc>
        <w:tc>
          <w:tcPr>
            <w:tcW w:w="4515" w:type="dxa"/>
            <w:gridSpan w:val="2"/>
            <w:tcBorders>
              <w:top w:val="single" w:sz="12" w:space="0" w:color="EBE0D1"/>
              <w:bottom w:val="single" w:sz="12" w:space="0" w:color="B2855B"/>
              <w:right w:val="single" w:sz="12" w:space="0" w:color="EBE0D1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DC4E2" w14:textId="77777777" w:rsidR="00944661" w:rsidRDefault="00000000">
            <w:pPr>
              <w:spacing w:before="120" w:after="120" w:line="300" w:lineRule="auto"/>
              <w:jc w:val="center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Preparado por: </w:t>
            </w:r>
          </w:p>
        </w:tc>
      </w:tr>
      <w:tr w:rsidR="00944661" w14:paraId="731F4CA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gridSpan w:val="2"/>
            <w:tcBorders>
              <w:top w:val="single" w:sz="12" w:space="0" w:color="B2855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883997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Caudex" w:eastAsia="Caudex" w:hAnsi="Caudex" w:cs="Caudex"/>
                <w:color w:val="525252"/>
                <w:spacing w:val="-2"/>
              </w:rPr>
              <w:t xml:space="preserve">Orientadora Natália Kloeckner </w:t>
            </w:r>
          </w:p>
        </w:tc>
        <w:tc>
          <w:tcPr>
            <w:tcW w:w="4515" w:type="dxa"/>
            <w:gridSpan w:val="2"/>
            <w:tcBorders>
              <w:top w:val="single" w:sz="12" w:space="0" w:color="B2855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16139A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Caudex" w:eastAsia="Caudex" w:hAnsi="Caudex" w:cs="Caudex"/>
                <w:color w:val="525252"/>
              </w:rPr>
              <w:t xml:space="preserve">Larissa Carvalho </w:t>
            </w:r>
          </w:p>
          <w:p w14:paraId="5DFAA1D5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Caudex" w:eastAsia="Caudex" w:hAnsi="Caudex" w:cs="Caudex"/>
                <w:color w:val="525252"/>
              </w:rPr>
              <w:t xml:space="preserve">João Marques Tourinho </w:t>
            </w:r>
          </w:p>
        </w:tc>
      </w:tr>
      <w:tr w:rsidR="00944661" w14:paraId="5B194099" w14:textId="777777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c>
          <w:tcPr>
            <w:tcW w:w="63" w:type="dxa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CBBE0B" w14:textId="77777777" w:rsidR="00944661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6FA8ECA" wp14:editId="6544ADF4">
                  <wp:extent cx="40005" cy="40005"/>
                  <wp:effectExtent l="0" t="0" r="0" b="0"/>
                  <wp:docPr id="1" name="Drawing 1" descr="0049503a-4206-434f-b185-021aadec23b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049503a-4206-434f-b185-021aadec23bc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" cy="4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661B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966" w:type="dxa"/>
            <w:gridSpan w:val="3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1FB2C1" w14:textId="77777777" w:rsidR="00944661" w:rsidRDefault="00000000">
            <w:pPr>
              <w:spacing w:before="120" w:after="120" w:line="300" w:lineRule="auto"/>
            </w:pPr>
            <w:r>
              <w:rPr>
                <w:rFonts w:ascii="Caudex" w:eastAsia="Caudex" w:hAnsi="Caudex" w:cs="Caudex"/>
                <w:color w:val="2E2E2E"/>
                <w:sz w:val="56"/>
                <w:szCs w:val="56"/>
              </w:rPr>
              <w:t>Conteúdo</w:t>
            </w:r>
            <w:r>
              <w:rPr>
                <w:rFonts w:ascii="Caudex" w:eastAsia="Caudex" w:hAnsi="Caudex" w:cs="Caudex"/>
                <w:color w:val="000000"/>
                <w:sz w:val="56"/>
                <w:szCs w:val="56"/>
              </w:rPr>
              <w:t xml:space="preserve"> </w:t>
            </w:r>
          </w:p>
        </w:tc>
      </w:tr>
      <w:tr w:rsidR="00944661" w14:paraId="76BCAC94" w14:textId="777777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c>
          <w:tcPr>
            <w:tcW w:w="6699" w:type="dxa"/>
            <w:gridSpan w:val="3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0070C" w14:textId="1B26EB3F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>Problema de negócios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>Visão geral do projeto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 xml:space="preserve">Análise da indústria </w:t>
            </w:r>
          </w:p>
          <w:p w14:paraId="31AB3AF1" w14:textId="50A52C6D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>Proposta de valor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>Solução MVP: Funcionalidade, Diferencial e Posicionamento de Mercado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>Estratégia de validação (etapas e status)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 xml:space="preserve">Visão geral do mercado e público-alvo </w:t>
            </w:r>
          </w:p>
          <w:p w14:paraId="1100F277" w14:textId="78A7625E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>Estratégia de escala e evolução do Propositum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br/>
              <w:t xml:space="preserve">KPIs de sucesso do Propositum </w:t>
            </w:r>
          </w:p>
          <w:p w14:paraId="6C627A92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Plano orçamentário </w:t>
            </w:r>
          </w:p>
        </w:tc>
        <w:tc>
          <w:tcPr>
            <w:tcW w:w="2330" w:type="dxa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052DD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</w:t>
            </w:r>
          </w:p>
        </w:tc>
      </w:tr>
    </w:tbl>
    <w:p w14:paraId="3F35A64C" w14:textId="77777777" w:rsidR="00944661" w:rsidRDefault="00000000">
      <w:pPr>
        <w:spacing w:before="120" w:after="120" w:line="300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08398742" w14:textId="77777777" w:rsidR="00944661" w:rsidRDefault="00000000">
      <w:pPr>
        <w:spacing w:before="120" w:after="120" w:line="300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220693B2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lastRenderedPageBreak/>
        <w:t xml:space="preserve">Problema de negócios </w:t>
      </w:r>
    </w:p>
    <w:p w14:paraId="715CC749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0F56417F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O mercado de desenvolvimento profissional e saúde mental enfrenta uma lacuna crítica: o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alto custo e a inacessibilidade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das metodologias tradicionais de orientação e o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rigor metodológico insuficiente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das ferramentas digitais massificadas. Atualmente, os indivíduos em transição de carreira ou busca por propósito (o nosso segmento B2C) dependem de duas opções imperfeitas: </w:t>
      </w:r>
    </w:p>
    <w:p w14:paraId="7B1B4FEB" w14:textId="77777777" w:rsidR="00944661" w:rsidRDefault="00000000">
      <w:pPr>
        <w:numPr>
          <w:ilvl w:val="0"/>
          <w:numId w:val="1"/>
        </w:numPr>
        <w:spacing w:after="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Consultoria Humana (Psicólogos/Coaches):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Extremamente eficaz, mas com um alto custo de entrada e um processo lento (2 a 4 sessões iniciais perdidas) para mapear o propósito e os valores centrais do cliente. </w:t>
      </w:r>
    </w:p>
    <w:p w14:paraId="61D5DFB5" w14:textId="77777777" w:rsidR="00944661" w:rsidRDefault="00000000">
      <w:pPr>
        <w:numPr>
          <w:ilvl w:val="0"/>
          <w:numId w:val="1"/>
        </w:numPr>
        <w:spacing w:after="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Testes Vocacionais/Chatbots Genéricos: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Rápidos e acessíveis, mas carecem de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rigor metodológico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e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supervisão ética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, resultando em </w:t>
      </w:r>
      <w:r>
        <w:rPr>
          <w:rFonts w:ascii="Fahkwang Italics" w:eastAsia="Fahkwang Italics" w:hAnsi="Fahkwang Italics" w:cs="Fahkwang Italics"/>
          <w:i/>
          <w:iCs/>
          <w:color w:val="2E2E2E"/>
          <w:sz w:val="22"/>
          <w:szCs w:val="22"/>
        </w:rPr>
        <w:t>insights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superficiais que não conseguem transpor o "o quê" (o resultado do teste) para o "como" (o plano de ação estratégica). </w:t>
      </w:r>
    </w:p>
    <w:p w14:paraId="64F40DF9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 xml:space="preserve">Consequentemente, empresas e universidades (nosso segmento B2B) sofrem com taxas elevadas de </w:t>
      </w:r>
      <w:r>
        <w:rPr>
          <w:rFonts w:ascii="Fahkwang Bold Italics" w:eastAsia="Fahkwang Bold Italics" w:hAnsi="Fahkwang Bold Italics" w:cs="Fahkwang Bold Italics"/>
          <w:b/>
          <w:bCs/>
          <w:i/>
          <w:iCs/>
          <w:color w:val="2E2E2E"/>
          <w:sz w:val="22"/>
          <w:szCs w:val="22"/>
        </w:rPr>
        <w:t>turnover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 xml:space="preserve"> e baixo engajamento de seus talentos, pois lhes faltam ferramentas escaláveis e eticamente robustas para um </w:t>
      </w:r>
      <w:r>
        <w:rPr>
          <w:rFonts w:ascii="Fahkwang Bold Italics" w:eastAsia="Fahkwang Bold Italics" w:hAnsi="Fahkwang Bold Italics" w:cs="Fahkwang Bold Italics"/>
          <w:b/>
          <w:bCs/>
          <w:i/>
          <w:iCs/>
          <w:color w:val="2E2E2E"/>
          <w:sz w:val="22"/>
          <w:szCs w:val="22"/>
        </w:rPr>
        <w:t>pré-diagnóstico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 xml:space="preserve"> preciso do alinhamento vocacional e emocional dos colaboradores.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01C906E4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O Propositum existe para resolver essa ineficiência, atuando como o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 xml:space="preserve">Acelerador da Terapia 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que fornece dados profundos, estruturados e validados metodologicamente, diminuindo o custo e o tempo da fase inicial do autoconhecimento e garantindo que o investimento em desenvolvimento gere resultados práticos imediatos. </w:t>
      </w:r>
    </w:p>
    <w:p w14:paraId="181A0EDB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3AB8999D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Visão geral do projeto </w:t>
      </w:r>
    </w:p>
    <w:p w14:paraId="56E9F367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682B8850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O Propositum é uma plataforma de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Triagem Inicial de Sentido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, potencializada por IA, que utiliza a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Logoterapia (Victor Frankl)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como seu framework teórico central. Nosso produto é um chatbot conversacional </w:t>
      </w:r>
      <w:r>
        <w:rPr>
          <w:rFonts w:ascii="Fahkwang" w:eastAsia="Fahkwang" w:hAnsi="Fahkwang" w:cs="Fahkwang"/>
          <w:color w:val="2E2E2E"/>
          <w:sz w:val="22"/>
          <w:szCs w:val="22"/>
        </w:rPr>
        <w:lastRenderedPageBreak/>
        <w:t xml:space="preserve">projetado para conduzir o usuário a uma introspecção profunda sobre seus valores, medos, aspirações e demais assuntos de interesse do usuário. </w:t>
      </w:r>
    </w:p>
    <w:p w14:paraId="6919535B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O resultado não é um diagnóstico, mas sim um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"Dossiê de Sentido"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– um conjunto de dados subjetivos organizados e validados por parâmetros psicológicos, que: </w:t>
      </w:r>
    </w:p>
    <w:p w14:paraId="0B9FB24A" w14:textId="77777777" w:rsidR="00944661" w:rsidRDefault="00000000">
      <w:pPr>
        <w:numPr>
          <w:ilvl w:val="0"/>
          <w:numId w:val="2"/>
        </w:numPr>
        <w:spacing w:after="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Acelera Processos: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Reduz o tempo e o custo das primeiras sessões de terapia/consultoria humana. </w:t>
      </w:r>
    </w:p>
    <w:p w14:paraId="08876766" w14:textId="77777777" w:rsidR="00944661" w:rsidRDefault="00000000">
      <w:pPr>
        <w:numPr>
          <w:ilvl w:val="0"/>
          <w:numId w:val="2"/>
        </w:numPr>
        <w:spacing w:after="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Capacita Profissionais: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Oferece às equipes de RH e Pedagogia dados estratégicos para intervir proativamente, focando a intervenção humana nos casos de maior risco. </w:t>
      </w:r>
    </w:p>
    <w:p w14:paraId="4D967577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20254607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Análise da indústria </w:t>
      </w:r>
    </w:p>
    <w:p w14:paraId="50FC2E51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7589C6F8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O Propositum atua na intersecção de três mercados de alto crescimento: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HR Tech (Tecnologia para Recursos Humanos)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,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EdTech (Tecnologia para Educação e Carreira)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e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Mental Health Tech (Saúde Mental Digital)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. Nossa proposta de valor endereça a falha desses setores em diagnosticar e resolver a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"crise de sentido e propósito"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que leva ao </w:t>
      </w:r>
      <w:r>
        <w:rPr>
          <w:rFonts w:ascii="Fahkwang Italics" w:eastAsia="Fahkwang Italics" w:hAnsi="Fahkwang Italics" w:cs="Fahkwang Italics"/>
          <w:i/>
          <w:iCs/>
          <w:color w:val="2E2E2E"/>
          <w:sz w:val="22"/>
          <w:szCs w:val="22"/>
        </w:rPr>
        <w:t>turnover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empresarial e à evasão universitária. Somos um serviço de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Triagem e Mapeamento de Propósito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 com rigor metodológico (Logoterapia). </w:t>
      </w:r>
    </w:p>
    <w:p w14:paraId="41A3075D" w14:textId="77777777" w:rsidR="00944661" w:rsidRDefault="00000000">
      <w:pPr>
        <w:spacing w:before="120" w:after="120" w:line="300" w:lineRule="auto"/>
      </w:pPr>
      <w:r>
        <w:rPr>
          <w:rFonts w:ascii="Fahkwang" w:eastAsia="Fahkwang" w:hAnsi="Fahkwang" w:cs="Fahkwang"/>
          <w:color w:val="2E2E2E"/>
          <w:sz w:val="28"/>
          <w:szCs w:val="28"/>
        </w:rPr>
        <w:t xml:space="preserve">Análise de concorrente </w:t>
      </w:r>
    </w:p>
    <w:p w14:paraId="265E4A96" w14:textId="77777777" w:rsidR="00944661" w:rsidRDefault="00000000">
      <w:pPr>
        <w:spacing w:before="120" w:after="120" w:line="300" w:lineRule="auto"/>
      </w:pPr>
      <w:r>
        <w:rPr>
          <w:rFonts w:ascii="Caudex Bold" w:eastAsia="Caudex Bold" w:hAnsi="Caudex Bold" w:cs="Caudex Bold"/>
          <w:b/>
          <w:bCs/>
          <w:color w:val="2E2E2E"/>
          <w:sz w:val="28"/>
          <w:szCs w:val="28"/>
        </w:rPr>
        <w:t xml:space="preserve">Teste Vocacional Genérico </w:t>
      </w:r>
    </w:p>
    <w:tbl>
      <w:tblPr>
        <w:tblW w:w="9030" w:type="dxa"/>
        <w:tblInd w:w="180" w:type="dxa"/>
        <w:tblBorders>
          <w:top w:val="none" w:sz="0" w:space="0" w:color="EBE0D1"/>
          <w:left w:val="none" w:sz="0" w:space="0" w:color="EBE0D1"/>
          <w:bottom w:val="none" w:sz="0" w:space="0" w:color="EBE0D1"/>
          <w:right w:val="none" w:sz="0" w:space="0" w:color="EBE0D1"/>
          <w:insideH w:val="none" w:sz="0" w:space="0" w:color="EBE0D1"/>
          <w:insideV w:val="none" w:sz="0" w:space="0" w:color="EBE0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603"/>
        <w:gridCol w:w="6662"/>
      </w:tblGrid>
      <w:tr w:rsidR="00944661" w14:paraId="1A0EB72D" w14:textId="77777777">
        <w:tblPrEx>
          <w:tblCellMar>
            <w:top w:w="0" w:type="dxa"/>
            <w:bottom w:w="0" w:type="dxa"/>
          </w:tblCellMar>
        </w:tblPrEx>
        <w:tc>
          <w:tcPr>
            <w:tcW w:w="1783" w:type="dxa"/>
            <w:gridSpan w:val="2"/>
            <w:tcBorders>
              <w:bottom w:val="single" w:sz="12" w:space="0" w:color="FFFFFF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602121" w14:textId="77777777" w:rsidR="00944661" w:rsidRDefault="00000000">
            <w:pPr>
              <w:spacing w:before="120" w:after="120" w:line="300" w:lineRule="auto"/>
            </w:pPr>
            <w:r>
              <w:rPr>
                <w:rFonts w:ascii="Fahkwang" w:eastAsia="Fahkwang" w:hAnsi="Fahkwang" w:cs="Fahkwang"/>
                <w:color w:val="2E2E2E"/>
                <w:sz w:val="26"/>
                <w:szCs w:val="26"/>
              </w:rPr>
              <w:t>Forças</w:t>
            </w:r>
            <w:r>
              <w:rPr>
                <w:rFonts w:ascii="Fahkwang" w:eastAsia="Fahkwang" w:hAnsi="Fahkwang" w:cs="Fahkwang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246" w:type="dxa"/>
            <w:tcBorders>
              <w:top w:val="none" w:sz="0" w:space="0" w:color="2E2E2E"/>
              <w:bottom w:val="single" w:sz="12" w:space="0" w:color="B2855B"/>
              <w:right w:val="none" w:sz="0" w:space="0" w:color="2E2E2E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E3B127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Grande alcance e visibilidade online (SEO e Tráfego). </w:t>
            </w:r>
          </w:p>
          <w:p w14:paraId="4E0FE78E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Rapidez na entrega dos resultados. </w:t>
            </w:r>
          </w:p>
          <w:p w14:paraId="533309E0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Baixíssimo custo de aquisição (muitas vezes gratuito). </w:t>
            </w:r>
          </w:p>
          <w:p w14:paraId="680EC7AA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Credibilidade percebida por serem ferramentas tradicionais. </w:t>
            </w:r>
          </w:p>
        </w:tc>
      </w:tr>
      <w:tr w:rsidR="00944661" w14:paraId="1C3007DA" w14:textId="77777777">
        <w:tblPrEx>
          <w:tblCellMar>
            <w:top w:w="0" w:type="dxa"/>
            <w:bottom w:w="0" w:type="dxa"/>
          </w:tblCellMar>
        </w:tblPrEx>
        <w:tc>
          <w:tcPr>
            <w:tcW w:w="1783" w:type="dxa"/>
            <w:gridSpan w:val="2"/>
            <w:tcBorders>
              <w:top w:val="single" w:sz="12" w:space="0" w:color="FFFFFF"/>
              <w:bottom w:val="single" w:sz="12" w:space="0" w:color="FFFFFF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95FAD6" w14:textId="77777777" w:rsidR="00944661" w:rsidRDefault="00000000">
            <w:pPr>
              <w:spacing w:before="120" w:after="120" w:line="300" w:lineRule="auto"/>
            </w:pPr>
            <w:r>
              <w:rPr>
                <w:rFonts w:ascii="Fahkwang" w:eastAsia="Fahkwang" w:hAnsi="Fahkwang" w:cs="Fahkwang"/>
                <w:color w:val="2E2E2E"/>
                <w:sz w:val="26"/>
                <w:szCs w:val="26"/>
              </w:rPr>
              <w:t>Fraquezas</w:t>
            </w:r>
            <w:r>
              <w:rPr>
                <w:rFonts w:ascii="Fahkwang" w:eastAsia="Fahkwang" w:hAnsi="Fahkwang" w:cs="Fahkwang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246" w:type="dxa"/>
            <w:tcBorders>
              <w:top w:val="single" w:sz="12" w:space="0" w:color="B2855B"/>
              <w:bottom w:val="single" w:sz="12" w:space="0" w:color="B2855B"/>
              <w:right w:val="none" w:sz="0" w:space="0" w:color="2E2E2E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C4B424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Superficialidade: Resultados estáticos baseados em 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lastRenderedPageBreak/>
              <w:t xml:space="preserve">múltipla escolha. </w:t>
            </w:r>
          </w:p>
          <w:p w14:paraId="623F9F18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Não aborda questões emocionais ou a "crise de sentido". </w:t>
            </w:r>
          </w:p>
          <w:p w14:paraId="3DC749A4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Falha em contextualizar o resultado na realidade dinâmica do usuário. </w:t>
            </w:r>
          </w:p>
          <w:p w14:paraId="2160DDF7" w14:textId="77777777" w:rsidR="00944661" w:rsidRDefault="00000000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Ausência de rigor ético/clínico (sem supervisão psicológica). </w:t>
            </w:r>
          </w:p>
        </w:tc>
      </w:tr>
      <w:tr w:rsidR="00944661" w14:paraId="15FE246C" w14:textId="77777777">
        <w:tblPrEx>
          <w:tblCellMar>
            <w:top w:w="0" w:type="dxa"/>
            <w:bottom w:w="0" w:type="dxa"/>
          </w:tblCellMar>
        </w:tblPrEx>
        <w:tc>
          <w:tcPr>
            <w:tcW w:w="1783" w:type="dxa"/>
            <w:gridSpan w:val="2"/>
            <w:tcBorders>
              <w:top w:val="single" w:sz="12" w:space="0" w:color="FFFFFF"/>
              <w:bottom w:val="single" w:sz="12" w:space="0" w:color="FFFFFF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A9F5BB" w14:textId="77777777" w:rsidR="00944661" w:rsidRDefault="00000000">
            <w:pPr>
              <w:spacing w:before="120" w:after="120" w:line="300" w:lineRule="auto"/>
            </w:pPr>
            <w:r>
              <w:rPr>
                <w:rFonts w:ascii="Fahkwang" w:eastAsia="Fahkwang" w:hAnsi="Fahkwang" w:cs="Fahkwang"/>
                <w:color w:val="2E2E2E"/>
                <w:sz w:val="26"/>
                <w:szCs w:val="26"/>
              </w:rPr>
              <w:lastRenderedPageBreak/>
              <w:t xml:space="preserve">Oportunidades </w:t>
            </w:r>
          </w:p>
        </w:tc>
        <w:tc>
          <w:tcPr>
            <w:tcW w:w="7246" w:type="dxa"/>
            <w:tcBorders>
              <w:top w:val="single" w:sz="12" w:space="0" w:color="B2855B"/>
              <w:bottom w:val="single" w:sz="12" w:space="0" w:color="B2855B"/>
              <w:right w:val="none" w:sz="0" w:space="0" w:color="2E2E2E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45085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Integração com plataformas de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e-learning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e gestão de talentos (LMS). </w:t>
            </w:r>
          </w:p>
          <w:p w14:paraId="5B5D9964" w14:textId="77777777" w:rsidR="00944661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Utilização de Big Data para refinar a precisão dos testes. </w:t>
            </w:r>
          </w:p>
          <w:p w14:paraId="30D27C7A" w14:textId="77777777" w:rsidR="00944661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Venda de relatórios premium de aprofundamento. </w:t>
            </w:r>
          </w:p>
        </w:tc>
      </w:tr>
      <w:tr w:rsidR="00944661" w14:paraId="6882E182" w14:textId="77777777">
        <w:tblPrEx>
          <w:tblCellMar>
            <w:top w:w="0" w:type="dxa"/>
            <w:bottom w:w="0" w:type="dxa"/>
          </w:tblCellMar>
        </w:tblPrEx>
        <w:tc>
          <w:tcPr>
            <w:tcW w:w="1783" w:type="dxa"/>
            <w:gridSpan w:val="2"/>
            <w:tcBorders>
              <w:top w:val="single" w:sz="12" w:space="0" w:color="FFFFFF"/>
            </w:tcBorders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C7FD61" w14:textId="77777777" w:rsidR="00944661" w:rsidRDefault="00000000">
            <w:pPr>
              <w:spacing w:before="120" w:after="120" w:line="300" w:lineRule="auto"/>
            </w:pPr>
            <w:r>
              <w:rPr>
                <w:rFonts w:ascii="Fahkwang" w:eastAsia="Fahkwang" w:hAnsi="Fahkwang" w:cs="Fahkwang"/>
                <w:color w:val="2E2E2E"/>
                <w:sz w:val="26"/>
                <w:szCs w:val="26"/>
              </w:rPr>
              <w:t xml:space="preserve">Ameaças </w:t>
            </w:r>
          </w:p>
        </w:tc>
        <w:tc>
          <w:tcPr>
            <w:tcW w:w="7246" w:type="dxa"/>
            <w:tcBorders>
              <w:top w:val="single" w:sz="12" w:space="0" w:color="B2855B"/>
              <w:bottom w:val="none" w:sz="0" w:space="0" w:color="2E2E2E"/>
              <w:right w:val="none" w:sz="0" w:space="0" w:color="2E2E2E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504A49" w14:textId="77777777" w:rsidR="00944661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Competição direta e substituição por IAs conversacionais generalistas (ChatGPT). </w:t>
            </w:r>
          </w:p>
          <w:p w14:paraId="233E700B" w14:textId="77777777" w:rsidR="00944661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Surgimento de ferramentas especializadas e metodologicamente rigorosas (como Propositum). </w:t>
            </w:r>
          </w:p>
          <w:p w14:paraId="2D5D1F34" w14:textId="77777777" w:rsidR="00944661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Regulação de dados e ética em saúde (LGPD/GDPR) que afete a coleta massiva de dados. </w:t>
            </w:r>
          </w:p>
        </w:tc>
      </w:tr>
      <w:tr w:rsidR="00944661" w14:paraId="235F94CA" w14:textId="77777777">
        <w:tblPrEx>
          <w:tblBorders>
            <w:top w:val="single" w:sz="12" w:space="0" w:color="F5F5EF"/>
            <w:left w:val="single" w:sz="12" w:space="0" w:color="F5F5EF"/>
            <w:bottom w:val="single" w:sz="12" w:space="0" w:color="F5F5EF"/>
            <w:right w:val="single" w:sz="12" w:space="0" w:color="F5F5EF"/>
            <w:insideH w:val="single" w:sz="12" w:space="0" w:color="F5F5EF"/>
            <w:insideV w:val="single" w:sz="12" w:space="0" w:color="F5F5EF"/>
          </w:tblBorders>
          <w:tblCellMar>
            <w:top w:w="0" w:type="dxa"/>
            <w:bottom w:w="0" w:type="dxa"/>
          </w:tblCellMar>
        </w:tblPrEx>
        <w:tc>
          <w:tcPr>
            <w:tcW w:w="1174" w:type="dxa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122D58" w14:textId="77777777" w:rsidR="00944661" w:rsidRDefault="00000000">
            <w:pPr>
              <w:spacing w:before="120" w:after="120" w:line="300" w:lineRule="auto"/>
            </w:pPr>
            <w:r>
              <w:rPr>
                <w:rFonts w:ascii="Caudex" w:eastAsia="Caudex" w:hAnsi="Caudex" w:cs="Caudex"/>
                <w:color w:val="2E2E2E"/>
                <w:sz w:val="36"/>
                <w:szCs w:val="36"/>
              </w:rPr>
              <w:t xml:space="preserve">O Contexto da Inovação e do Propósito </w:t>
            </w:r>
          </w:p>
        </w:tc>
        <w:tc>
          <w:tcPr>
            <w:tcW w:w="7855" w:type="dxa"/>
            <w:gridSpan w:val="2"/>
            <w:shd w:val="clear" w:color="auto" w:fill="F5F5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6238C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O Propositum está estrategicamente posicionado na intersecção do mercado de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Tecnologias de Alinhamento de Carreira, HR Tech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 e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Mental Health Tech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, um ecossistema global de alto crescimento impulsionado pela digitalização dos serviços de recursos humanos e educação. Globalmente, o setor de HR Tech tem uma projeção de valor de mercado que supera dezenas de bilhões de dólares nos próximos anos, refletindo a demanda por soluções que otimizem a gestão de talentos. </w:t>
            </w:r>
          </w:p>
          <w:p w14:paraId="5728D96C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Nossa atuação inicial está focada no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mercado brasileiro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, onde a regulamentação clara da LGPD e a alta taxa de 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lastRenderedPageBreak/>
              <w:t xml:space="preserve">desengajamento profissional e evasão universitária (a "crise de sentido") criam um ambiente propício para a inovação. </w:t>
            </w:r>
          </w:p>
          <w:p w14:paraId="5529F56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Apesar do grande número de participantes, o mercado é altamente fragmentado e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não é dominado por uma única organização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 que resolva o problema da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pacing w:val="3"/>
                <w:sz w:val="22"/>
                <w:szCs w:val="22"/>
              </w:rPr>
              <w:t>crise de sentido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 com a profundidade e o rigor que propomos. Os principais participantes incluem grandes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pacing w:val="3"/>
                <w:sz w:val="22"/>
                <w:szCs w:val="22"/>
              </w:rPr>
              <w:t>players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 de HR Tech (como Workday e SuccessFactors, que focam na gestão de performance), plataformas de bem-estar corporativo (como BetterUp ou Gympass, que focam na saúde geral) e provedores de testes estáticos (como 16Personalities, focados em traços, não em propósito existencial). Nossas concorrentes, com base nos serviços oferecidos, podem ser divididas em: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Concorrentes Diretos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, que são as plataformas de testes vocacionais online, e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Concorrentes Indiretos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, que são os chatbots de IA generalistas (pela capacidade conversacional) e as consultorias de carreira tradicionais (pelo valor de direcionamento).  </w:t>
            </w:r>
          </w:p>
          <w:p w14:paraId="45B7485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O Propositum busca capitalizar justamente na falha desses competidores em fornecer uma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  <w:spacing w:val="3"/>
                <w:sz w:val="22"/>
                <w:szCs w:val="22"/>
              </w:rPr>
              <w:t>Triagem de Sentido escalável, metodologicamente validada pela Logoterapia e eticamente segura</w:t>
            </w:r>
            <w:r>
              <w:rPr>
                <w:rFonts w:ascii="Fahkwang" w:eastAsia="Fahkwang" w:hAnsi="Fahkwang" w:cs="Fahkwang"/>
                <w:color w:val="2E2E2E"/>
                <w:spacing w:val="3"/>
                <w:sz w:val="22"/>
                <w:szCs w:val="22"/>
              </w:rPr>
              <w:t xml:space="preserve">. </w:t>
            </w:r>
          </w:p>
        </w:tc>
      </w:tr>
    </w:tbl>
    <w:p w14:paraId="24DBD909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lastRenderedPageBreak/>
        <w:t xml:space="preserve"> </w:t>
      </w:r>
    </w:p>
    <w:p w14:paraId="2121E4F8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Proposta de valor </w:t>
      </w:r>
    </w:p>
    <w:p w14:paraId="2C59C880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0B6D9824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8"/>
          <w:szCs w:val="28"/>
        </w:rPr>
        <w:t xml:space="preserve">"Transforme a Crise de Sentido em Direcionamento Estratégico." </w:t>
      </w:r>
    </w:p>
    <w:p w14:paraId="0672550E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Propositum oferece a primeira </w:t>
      </w:r>
      <w:r>
        <w:rPr>
          <w:rFonts w:ascii="Fahkwang Bold" w:eastAsia="Fahkwang Bold" w:hAnsi="Fahkwang Bold" w:cs="Fahkwang Bold"/>
          <w:b/>
          <w:bCs/>
          <w:color w:val="2E2E2E"/>
        </w:rPr>
        <w:t>Triagem de Sentido baseada em Inteligência Artificial e Logoterapia</w:t>
      </w:r>
      <w:r>
        <w:rPr>
          <w:rFonts w:ascii="Fahkwang" w:eastAsia="Fahkwang" w:hAnsi="Fahkwang" w:cs="Fahkwang"/>
          <w:color w:val="2E2E2E"/>
        </w:rPr>
        <w:t xml:space="preserve">, convertendo a introspecção subjetiva em dados acionáveis. </w:t>
      </w:r>
    </w:p>
    <w:p w14:paraId="6B35A17F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 </w:t>
      </w:r>
    </w:p>
    <w:p w14:paraId="038173CF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1. Proposta de Valor para o Usuário Final (B2C) </w:t>
      </w:r>
    </w:p>
    <w:p w14:paraId="18448A9E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Público:</w:t>
      </w:r>
      <w:r>
        <w:rPr>
          <w:rFonts w:ascii="Fahkwang" w:eastAsia="Fahkwang" w:hAnsi="Fahkwang" w:cs="Fahkwang"/>
          <w:color w:val="2E2E2E"/>
        </w:rPr>
        <w:t xml:space="preserve"> Jovens Adultos e Profissionais em Transição (que buscam propósito e direção).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278"/>
        <w:gridCol w:w="2741"/>
      </w:tblGrid>
      <w:tr w:rsidR="00944661" w14:paraId="4B79F9F5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DCFEE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868EA4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Ganhos (Gains) </w:t>
            </w:r>
          </w:p>
        </w:tc>
        <w:tc>
          <w:tcPr>
            <w:tcW w:w="3278" w:type="dxa"/>
            <w:shd w:val="clear" w:color="auto" w:fill="FFE5C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1AE8BD" w14:textId="77777777" w:rsidR="00944661" w:rsidRDefault="00000000">
            <w:pPr>
              <w:spacing w:before="120" w:after="120" w:line="336" w:lineRule="auto"/>
              <w:jc w:val="center"/>
            </w:pPr>
            <w:r w:rsidRPr="000E43C6"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Analgésicos (Pain Relievers) </w:t>
            </w:r>
          </w:p>
        </w:tc>
        <w:tc>
          <w:tcPr>
            <w:tcW w:w="2741" w:type="dxa"/>
            <w:shd w:val="clear" w:color="auto" w:fill="B4D7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F9F96" w14:textId="77777777" w:rsidR="00944661" w:rsidRDefault="00000000">
            <w:pPr>
              <w:spacing w:before="120" w:after="120" w:line="336" w:lineRule="auto"/>
              <w:jc w:val="center"/>
            </w:pPr>
            <w:r w:rsidRPr="000E43C6"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Produtos e Serviços </w:t>
            </w:r>
          </w:p>
        </w:tc>
      </w:tr>
      <w:tr w:rsidR="00944661" w14:paraId="453AC57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771C4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Clareza e Direção Imediata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Obtenha um mapa de seus valores e propósito em minutos, não em semanas de sessões. </w:t>
            </w:r>
          </w:p>
        </w:tc>
        <w:tc>
          <w:tcPr>
            <w:tcW w:w="327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837A7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Elimina a Superficialidade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Substitui testes vocacionais genéricos por uma introspecção profunda e conversacional. </w:t>
            </w:r>
          </w:p>
        </w:tc>
        <w:tc>
          <w:tcPr>
            <w:tcW w:w="27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FE48C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Dossiê de Sentido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Relatório detalhado e estruturado (pronto para a ação) de valores, motivações e bloqueios. </w:t>
            </w:r>
          </w:p>
        </w:tc>
      </w:tr>
      <w:tr w:rsidR="00944661" w14:paraId="02D3280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5875E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Acessibilidade Ética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Tenha uma ferramenta de autoconhecimento rigorosa, baseada em Psicologia (Logoterapia), por uma fração do custo de uma consultoria humana. </w:t>
            </w:r>
          </w:p>
        </w:tc>
        <w:tc>
          <w:tcPr>
            <w:tcW w:w="327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7230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Reduz a Ansiedade de Transição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Oferece um primeiro passo seguro e não-julgador para tomar decisões de carreira. </w:t>
            </w:r>
          </w:p>
        </w:tc>
        <w:tc>
          <w:tcPr>
            <w:tcW w:w="27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A6889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Chatbot de Logoterapia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Interação conversacional guiada pelo método socrático - framework psicológico específico e seguro. </w:t>
            </w:r>
          </w:p>
        </w:tc>
      </w:tr>
      <w:tr w:rsidR="00944661" w14:paraId="1D94888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B280B5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Preparação para a Ação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Chegue à sua primeira sessão de terapia com o trabalho de base já feito, 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lastRenderedPageBreak/>
              <w:t xml:space="preserve">economizando tempo e dinheiro. </w:t>
            </w:r>
          </w:p>
        </w:tc>
        <w:tc>
          <w:tcPr>
            <w:tcW w:w="327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00917F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lastRenderedPageBreak/>
              <w:t>Máxima Confidencialidade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Garantia de segurança de dados (LGPD) e um Protocolo de Aviso ético 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lastRenderedPageBreak/>
              <w:t xml:space="preserve">em casos de risco iminente. </w:t>
            </w:r>
          </w:p>
        </w:tc>
        <w:tc>
          <w:tcPr>
            <w:tcW w:w="27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DA9BB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lastRenderedPageBreak/>
              <w:t>Plano de Ação Personalizado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Templates e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frameworks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para transformar insights 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lastRenderedPageBreak/>
              <w:t xml:space="preserve">em metas concretas de carreira. </w:t>
            </w:r>
          </w:p>
        </w:tc>
      </w:tr>
    </w:tbl>
    <w:p w14:paraId="6645B293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 </w:t>
      </w:r>
    </w:p>
    <w:p w14:paraId="1AE098F5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2. Proposta de Valor para o Cliente Institucional (B2B) </w:t>
      </w:r>
    </w:p>
    <w:p w14:paraId="3558A388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Público:</w:t>
      </w:r>
      <w:r>
        <w:rPr>
          <w:rFonts w:ascii="Fahkwang" w:eastAsia="Fahkwang" w:hAnsi="Fahkwang" w:cs="Fahkwang"/>
          <w:color w:val="2E2E2E"/>
        </w:rPr>
        <w:t xml:space="preserve"> RH de Empresas e Equipes de Pedagogia/Orientação de Universidades.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317"/>
        <w:gridCol w:w="2702"/>
      </w:tblGrid>
      <w:tr w:rsidR="00944661" w14:paraId="48BC394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DCFEE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86588C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Ganhos (Gains) </w:t>
            </w:r>
          </w:p>
        </w:tc>
        <w:tc>
          <w:tcPr>
            <w:tcW w:w="3317" w:type="dxa"/>
            <w:shd w:val="clear" w:color="auto" w:fill="FFE5C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FFB8EB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Analgésicos (Pain Relievers) </w:t>
            </w:r>
          </w:p>
        </w:tc>
        <w:tc>
          <w:tcPr>
            <w:tcW w:w="2702" w:type="dxa"/>
            <w:shd w:val="clear" w:color="auto" w:fill="B4D7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65E2D6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Produtos e Serviços </w:t>
            </w:r>
          </w:p>
        </w:tc>
      </w:tr>
      <w:tr w:rsidR="00944661" w14:paraId="7E049D26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EE5DA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Retenção de Talentos (RH)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Identifique colaboradores desalinhados antes do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turnover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, atuando na causa raiz: a falta de propósito. </w:t>
            </w:r>
          </w:p>
        </w:tc>
        <w:tc>
          <w:tcPr>
            <w:tcW w:w="33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B384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Combate à Evasão (Universidades)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Fornece dados preditivos para que a equipe pedagógica intervenha estrategicamente com alunos em risco de desistência. </w:t>
            </w:r>
          </w:p>
        </w:tc>
        <w:tc>
          <w:tcPr>
            <w:tcW w:w="270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FB555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Licença B2B / Módulo de API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Integração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white-label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da Triagem de Sentido no sistema de gestão de talentos ou de alunos. </w:t>
            </w:r>
          </w:p>
        </w:tc>
      </w:tr>
      <w:tr w:rsidR="00944661" w14:paraId="3086767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0DB8C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Eficiência da Equipe de Apoio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Transforme a atuação reativa (apagar incêndios) em intervenção proativa e estratégica, focando o tempo do consultor/pedagogo nos casos mais críticos. </w:t>
            </w:r>
          </w:p>
        </w:tc>
        <w:tc>
          <w:tcPr>
            <w:tcW w:w="33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75D15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Rigor e Ética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Minimize o risco legal e de vieses, utilizando uma ferramenta validada metodologicamente e com compromisso com a LGPD. </w:t>
            </w:r>
          </w:p>
        </w:tc>
        <w:tc>
          <w:tcPr>
            <w:tcW w:w="270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ED529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Dashboard de Alinhamento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Relatórios agregados e anonimizados de tendências de propósito e saúde emocional da força de trabalho ou corpo discente. </w:t>
            </w:r>
          </w:p>
        </w:tc>
      </w:tr>
      <w:tr w:rsidR="00944661" w14:paraId="14049F0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ADC7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lastRenderedPageBreak/>
              <w:t>Otimização de Custo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Reduza o investimento nas primeiras sessões de orientação, substituindo-as pela triagem escalável da IA. </w:t>
            </w:r>
          </w:p>
        </w:tc>
        <w:tc>
          <w:tcPr>
            <w:tcW w:w="33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688E0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Solução Escalável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Implemente um serviço de triagem para centenas de colaboradores/alunos sem aumentar os custos operacionais de forma linear. </w:t>
            </w:r>
          </w:p>
        </w:tc>
        <w:tc>
          <w:tcPr>
            <w:tcW w:w="270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1DA9B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Suporte e Auditoria Metodológica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: Garantia de que o framework de Logoterapia está sendo aplicado corretamente. </w:t>
            </w:r>
          </w:p>
        </w:tc>
      </w:tr>
    </w:tbl>
    <w:p w14:paraId="1055CFAC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470CC430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Solução MVP: Funcionalidade, Diferencial e Posicionamento de Mercado </w:t>
      </w:r>
    </w:p>
    <w:p w14:paraId="4FCF42F3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5D483220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I. Descrição e Funcionalidade do Produto Mínimo Viável (MVP) </w:t>
      </w:r>
    </w:p>
    <w:p w14:paraId="35B7EB43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MVP do Propositum é o </w:t>
      </w:r>
      <w:r>
        <w:rPr>
          <w:rFonts w:ascii="Fahkwang Bold" w:eastAsia="Fahkwang Bold" w:hAnsi="Fahkwang Bold" w:cs="Fahkwang Bold"/>
          <w:b/>
          <w:bCs/>
          <w:color w:val="2E2E2E"/>
        </w:rPr>
        <w:t>Chatbot Conversacional de Triagem de Sentido</w:t>
      </w:r>
      <w:r>
        <w:rPr>
          <w:rFonts w:ascii="Fahkwang" w:eastAsia="Fahkwang" w:hAnsi="Fahkwang" w:cs="Fahkwang"/>
          <w:color w:val="2E2E2E"/>
        </w:rPr>
        <w:t xml:space="preserve">. Ele foi desenvolvido para ser rápido, engajador e, fundamentalmente, eticamente orientado. </w:t>
      </w:r>
    </w:p>
    <w:p w14:paraId="6BC949EC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2425C1BF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 xml:space="preserve">Funcionalidades Chave do MVP: </w:t>
      </w:r>
    </w:p>
    <w:p w14:paraId="57867C26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usuário interage com 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chatbot</w:t>
      </w:r>
      <w:r>
        <w:rPr>
          <w:rFonts w:ascii="Fahkwang" w:eastAsia="Fahkwang" w:hAnsi="Fahkwang" w:cs="Fahkwang"/>
          <w:color w:val="2E2E2E"/>
        </w:rPr>
        <w:t xml:space="preserve"> por meio de prompts abertos. A IA utiliza a Logoterapia (Victor Frankl) como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framework</w:t>
      </w:r>
      <w:r>
        <w:rPr>
          <w:rFonts w:ascii="Fahkwang" w:eastAsia="Fahkwang" w:hAnsi="Fahkwang" w:cs="Fahkwang"/>
          <w:color w:val="2E2E2E"/>
        </w:rPr>
        <w:t xml:space="preserve"> base para guiar o diálogo, focando em questões de valores, responsabilidade, fontes de sentido e bloqueios existenciais. </w:t>
      </w:r>
    </w:p>
    <w:p w14:paraId="5D55ADBF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As respostas subjetivas do usuário são processadas por um sistema de regras e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prompts</w:t>
      </w:r>
      <w:r>
        <w:rPr>
          <w:rFonts w:ascii="Fahkwang" w:eastAsia="Fahkwang" w:hAnsi="Fahkwang" w:cs="Fahkwang"/>
          <w:color w:val="2E2E2E"/>
        </w:rPr>
        <w:t xml:space="preserve"> que as codificam em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data points</w:t>
      </w:r>
      <w:r>
        <w:rPr>
          <w:rFonts w:ascii="Fahkwang" w:eastAsia="Fahkwang" w:hAnsi="Fahkwang" w:cs="Fahkwang"/>
          <w:color w:val="2E2E2E"/>
        </w:rPr>
        <w:t xml:space="preserve"> estruturados (Ex: </w:t>
      </w:r>
      <w:r>
        <w:rPr>
          <w:rFonts w:ascii="Fahkwang" w:eastAsia="Fahkwang" w:hAnsi="Fahkwang" w:cs="Fahkwang"/>
          <w:color w:val="2E2E2E"/>
        </w:rPr>
        <w:lastRenderedPageBreak/>
        <w:t xml:space="preserve">Alto índice de Valor Familiar, Baixo alinhamento com Propósito de Carreira). </w:t>
      </w:r>
    </w:p>
    <w:p w14:paraId="3AF76076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produto final é o "Dossiê de Sentido". Este relatório não é um diagnóstico, mas uma organização estratégica das informações do usuário. Ele serve como o ponto de partida ideal para o cliente ou para o profissional humano que ele consultar. </w:t>
      </w:r>
    </w:p>
    <w:p w14:paraId="3F3C742C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0D4185A4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II. Diferencial Inegociável: Rigor e Metodologia </w:t>
      </w:r>
    </w:p>
    <w:p w14:paraId="25B0AD43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Nosso diferencial não é apenas a tecnologia de IA, mas o </w:t>
      </w:r>
      <w:r>
        <w:rPr>
          <w:rFonts w:ascii="Fahkwang Bold" w:eastAsia="Fahkwang Bold" w:hAnsi="Fahkwang Bold" w:cs="Fahkwang Bold"/>
          <w:b/>
          <w:bCs/>
          <w:color w:val="2E2E2E"/>
        </w:rPr>
        <w:t>paradigma teórico</w:t>
      </w:r>
      <w:r>
        <w:rPr>
          <w:rFonts w:ascii="Fahkwang" w:eastAsia="Fahkwang" w:hAnsi="Fahkwang" w:cs="Fahkwang"/>
          <w:color w:val="2E2E2E"/>
        </w:rPr>
        <w:t xml:space="preserve"> sob o qual ela opera.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1F3C29A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F39E2A" w14:textId="77777777" w:rsidR="00944661" w:rsidRDefault="00000000">
            <w:pPr>
              <w:spacing w:before="120" w:after="120" w:line="360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Aspecto </w:t>
            </w:r>
          </w:p>
        </w:tc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0754EC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Propositum (Logoterapia) </w:t>
            </w:r>
          </w:p>
        </w:tc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51CD42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Concorrentes (Testes Genéricos/Big 5) </w:t>
            </w:r>
          </w:p>
        </w:tc>
      </w:tr>
      <w:tr w:rsidR="00944661" w14:paraId="2697156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5D85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Foco da Análise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1A173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Sentido, Propósito e Valores</w:t>
            </w:r>
            <w:r>
              <w:rPr>
                <w:rFonts w:ascii="Fahkwang" w:eastAsia="Fahkwang" w:hAnsi="Fahkwang" w:cs="Fahkwang"/>
                <w:color w:val="2E2E2E"/>
              </w:rPr>
              <w:t xml:space="preserve"> (O Porquê).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F971FF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Traços de Personalidade e Habilidades (O Quê). </w:t>
            </w:r>
          </w:p>
        </w:tc>
      </w:tr>
      <w:tr w:rsidR="00944661" w14:paraId="7EF4997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1C30F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Metodologia Base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8F177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Logoterapia (Victor Frankl), Psicologia Positiva.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84491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Psicometria Estática, Estatísticas de Múltipla Escolha. </w:t>
            </w:r>
          </w:p>
        </w:tc>
      </w:tr>
      <w:tr w:rsidR="00944661" w14:paraId="4EB91FC4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AF9D0F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Entrega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28F8A1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Dossiê de Dados Estruturados (Pronto para a Ação Humana).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D70A7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Relatório Estático e Superficial. </w:t>
            </w:r>
          </w:p>
        </w:tc>
      </w:tr>
      <w:tr w:rsidR="00944661" w14:paraId="47142B9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FFF8E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04864F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lastRenderedPageBreak/>
              <w:t>Rigor Ético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A151F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Compromisso com a LGPD e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Supervisão do Conselho Consultivo Ético</w:t>
            </w:r>
            <w:r>
              <w:rPr>
                <w:rFonts w:ascii="Fahkwang" w:eastAsia="Fahkwang" w:hAnsi="Fahkwang" w:cs="Fahkwang"/>
                <w:color w:val="2E2E2E"/>
              </w:rPr>
              <w:t xml:space="preserve">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D1BB8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Geralmente focado apenas em vendas, com pouca auditoria metodológica. </w:t>
            </w:r>
          </w:p>
        </w:tc>
      </w:tr>
    </w:tbl>
    <w:p w14:paraId="6BD9423A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08CEAD60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III. O que Resolve do que Já Existe </w:t>
      </w:r>
    </w:p>
    <w:p w14:paraId="7BDDEA8D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Propositum resolve a ineficiência de tempo e custo nas fases iniciais do autoconhecimento: </w:t>
      </w:r>
    </w:p>
    <w:p w14:paraId="0B7C29A6" w14:textId="77777777" w:rsidR="00944661" w:rsidRDefault="00000000">
      <w:pPr>
        <w:numPr>
          <w:ilvl w:val="0"/>
          <w:numId w:val="5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Entrega em minutos o trabalho que um profissional humano levaria de 2 a 4 sessões para extrair, economizando o tempo valioso de ambos. </w:t>
      </w:r>
    </w:p>
    <w:p w14:paraId="355673B0" w14:textId="77777777" w:rsidR="00944661" w:rsidRDefault="00000000">
      <w:pPr>
        <w:numPr>
          <w:ilvl w:val="0"/>
          <w:numId w:val="5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Transforma a experiência de preenchimento estático em uma jornada conversacional profunda, garantindo que a informação gerada seja mais rica e acionável. </w:t>
      </w:r>
    </w:p>
    <w:p w14:paraId="50A0EB1F" w14:textId="77777777" w:rsidR="00944661" w:rsidRDefault="00000000">
      <w:pPr>
        <w:numPr>
          <w:ilvl w:val="0"/>
          <w:numId w:val="5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Oferece a universidades e RHs uma ferramenta escalável para intervenção proativa, permitindo que suas equipes de apoio atuem antes que o desengajamento (turnover ou evasão) se concretize. </w:t>
      </w:r>
    </w:p>
    <w:p w14:paraId="4868E957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IV. Posicionamento de Mercado: Navegando o Oceano Azul </w:t>
      </w:r>
    </w:p>
    <w:p w14:paraId="7BCC89B7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Propositum está criando um Oceano Azul ao fundir os benefícios de dois mercados que historicamente não se misturam: </w:t>
      </w:r>
    </w:p>
    <w:p w14:paraId="70CC2CE2" w14:textId="77777777" w:rsidR="00944661" w:rsidRDefault="00000000">
      <w:pPr>
        <w:numPr>
          <w:ilvl w:val="0"/>
          <w:numId w:val="6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Baixo custo e alta velocidade (Atributo de Chatbot) </w:t>
      </w:r>
    </w:p>
    <w:p w14:paraId="63E2E099" w14:textId="77777777" w:rsidR="00944661" w:rsidRDefault="00000000">
      <w:pPr>
        <w:numPr>
          <w:ilvl w:val="0"/>
          <w:numId w:val="6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Alto rigor metodológico e ético (Atributo de Clínica Psicológica) </w:t>
      </w:r>
    </w:p>
    <w:p w14:paraId="11CF2939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Nossa posição no mercado não é competir diretamente com testes vocacionais (Oceano Vermelho), mas sim criar a categoria de "Triagem de Sentido como Serviço" (TSS). Ao incorporar um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framework</w:t>
      </w:r>
      <w:r>
        <w:rPr>
          <w:rFonts w:ascii="Fahkwang" w:eastAsia="Fahkwang" w:hAnsi="Fahkwang" w:cs="Fahkwang"/>
          <w:color w:val="2E2E2E"/>
        </w:rPr>
        <w:t xml:space="preserve"> psicológico específico e um rigor ético desde o MVP, o Propositum se distingue fundamentalmente, posicionando-se como </w:t>
      </w:r>
      <w:r>
        <w:rPr>
          <w:rFonts w:ascii="Fahkwang" w:eastAsia="Fahkwang" w:hAnsi="Fahkwang" w:cs="Fahkwang"/>
          <w:color w:val="2E2E2E"/>
        </w:rPr>
        <w:lastRenderedPageBreak/>
        <w:t xml:space="preserve">uma ferramenta essencial para o profissional de apoio e para o usuário em busca de clareza. </w:t>
      </w:r>
    </w:p>
    <w:p w14:paraId="536D28CD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 xml:space="preserve"> </w:t>
      </w:r>
    </w:p>
    <w:p w14:paraId="1DC32A0D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Estratégia de validação (etapas e status) </w:t>
      </w:r>
    </w:p>
    <w:p w14:paraId="6330E593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65E422B9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A validação do Propositum está estruturada em duas fases. Reconhecemos que a fase inicial se concentrou na viabilidade técnica (MVP), e agora o foco se move para a </w:t>
      </w:r>
      <w:r>
        <w:rPr>
          <w:rFonts w:ascii="Fahkwang Bold" w:eastAsia="Fahkwang Bold" w:hAnsi="Fahkwang Bold" w:cs="Fahkwang Bold"/>
          <w:b/>
          <w:bCs/>
          <w:color w:val="2E2E2E"/>
          <w:sz w:val="22"/>
          <w:szCs w:val="22"/>
        </w:rPr>
        <w:t>validação da utilidade (Metodologia e Mercado)</w:t>
      </w:r>
      <w:r>
        <w:rPr>
          <w:rFonts w:ascii="Fahkwang" w:eastAsia="Fahkwang" w:hAnsi="Fahkwang" w:cs="Fahkwang"/>
          <w:color w:val="2E2E2E"/>
          <w:sz w:val="22"/>
          <w:szCs w:val="22"/>
        </w:rPr>
        <w:t xml:space="preserve">. </w:t>
      </w:r>
    </w:p>
    <w:p w14:paraId="7C1509BE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4E23A580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I. Validação Já Realizada: Prova de Conceito (MVP Técnico)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1942A29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90F37F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Etapa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DA1A5D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Status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3249B5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 xml:space="preserve">Resultado </w:t>
            </w:r>
          </w:p>
        </w:tc>
      </w:tr>
      <w:tr w:rsidR="00944661" w14:paraId="506CF23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320E4" w14:textId="77777777" w:rsidR="00944661" w:rsidRDefault="00000000">
            <w:pPr>
              <w:spacing w:before="120" w:after="120" w:line="355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MVP Conversacional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F1959B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  <w:highlight w:val="lightGray"/>
              </w:rPr>
              <w:t xml:space="preserve">Concluída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053FC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Demonstração de um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chatbot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rápido e funcional, capaz de conduzir um diálogo de 5-7 minutos sobre valores e aspirações. </w:t>
            </w:r>
          </w:p>
        </w:tc>
      </w:tr>
      <w:tr w:rsidR="00944661" w14:paraId="5666E52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93F20D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t>Teste de Velocidade/UX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B9DC07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  <w:highlight w:val="lightGray"/>
              </w:rPr>
              <w:t xml:space="preserve">Concluída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3AC365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Validação interna de que a IA processa e retorna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  <w:sz w:val="22"/>
                <w:szCs w:val="22"/>
              </w:rPr>
              <w:t>insights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de forma ágil, demonstrando que o Propositum é mais rápido que as 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lastRenderedPageBreak/>
              <w:t xml:space="preserve">alternativas humanas. </w:t>
            </w:r>
          </w:p>
        </w:tc>
      </w:tr>
      <w:tr w:rsidR="00944661" w14:paraId="14086C7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715BB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</w:rPr>
              <w:lastRenderedPageBreak/>
              <w:t>Arquitetura de LGPD</w:t>
            </w: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D73EF6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  <w:sz w:val="22"/>
                <w:szCs w:val="22"/>
                <w:highlight w:val="white"/>
              </w:rPr>
              <w:t xml:space="preserve">Em Andamento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973CE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  <w:sz w:val="22"/>
                <w:szCs w:val="22"/>
              </w:rPr>
              <w:t xml:space="preserve">Definição da arquitetura de criptografia e do uso de __app_id e __user_id para garantir a separação e segurança dos dados, atendendo aos requisitos iniciais de ética. </w:t>
            </w:r>
          </w:p>
        </w:tc>
      </w:tr>
    </w:tbl>
    <w:p w14:paraId="223514ED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  <w:sz w:val="22"/>
          <w:szCs w:val="22"/>
        </w:rPr>
        <w:t xml:space="preserve"> </w:t>
      </w:r>
    </w:p>
    <w:p w14:paraId="697094D2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.</w:t>
      </w: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II. Validação em Curso: Validação da Tese e Mercado </w:t>
      </w:r>
    </w:p>
    <w:p w14:paraId="1F0A3C7E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Esta é a fase atual, desenhada para abordar diretamente o feedback sobre a falta de dados e o rigor metodológico.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9"/>
        <w:gridCol w:w="3184"/>
        <w:gridCol w:w="2677"/>
      </w:tblGrid>
      <w:tr w:rsidR="00944661" w14:paraId="34C6639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BF7F71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Etapa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8911CD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Objetivo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7CDA10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Métrica de Sucesso (KPI) </w:t>
            </w:r>
          </w:p>
        </w:tc>
      </w:tr>
      <w:tr w:rsidR="00944661" w14:paraId="60531FA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E67DA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Validação do Problema B2B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6F508D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Confirmar a dor do RH/Universidades em relação à "crise de sentido" e a ineficácia das ferramentas atuais.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205BD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80% dos entrevistados confirmam que os testes atuais são superficiais; 60% indicam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turnover</w:t>
            </w:r>
            <w:r>
              <w:rPr>
                <w:rFonts w:ascii="Fahkwang" w:eastAsia="Fahkwang" w:hAnsi="Fahkwang" w:cs="Fahkwang"/>
                <w:color w:val="2E2E2E"/>
              </w:rPr>
              <w:t xml:space="preserve"> ou evasão ligados à falta de propósito. </w:t>
            </w:r>
          </w:p>
        </w:tc>
      </w:tr>
      <w:tr w:rsidR="00944661" w14:paraId="69E57467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F2AE4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lastRenderedPageBreak/>
              <w:t>Validação Clínica/Metodológica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4946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Obter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feedback</w:t>
            </w:r>
            <w:r>
              <w:rPr>
                <w:rFonts w:ascii="Fahkwang" w:eastAsia="Fahkwang" w:hAnsi="Fahkwang" w:cs="Fahkwang"/>
                <w:color w:val="2E2E2E"/>
              </w:rPr>
              <w:t xml:space="preserve"> de psicólogos/pedagogos sobre a usabilidade e segurança do </w:t>
            </w: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"Dossiê de Sentido"</w:t>
            </w:r>
            <w:r>
              <w:rPr>
                <w:rFonts w:ascii="Fahkwang" w:eastAsia="Fahkwang" w:hAnsi="Fahkwang" w:cs="Fahkwang"/>
                <w:color w:val="2E2E2E"/>
              </w:rPr>
              <w:t xml:space="preserve"> (O produto final da IA).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8D759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70% dos especialistas concordam que o Dossiê acelera em pelo menos 2 sessões iniciais a triagem. </w:t>
            </w:r>
          </w:p>
        </w:tc>
      </w:tr>
      <w:tr w:rsidR="00944661" w14:paraId="6AF5B87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AF7CFE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Testes de Usabilidade (B2C)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5AF37D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Testar o MVP com um grupo de 50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early adopters</w:t>
            </w:r>
            <w:r>
              <w:rPr>
                <w:rFonts w:ascii="Fahkwang" w:eastAsia="Fahkwang" w:hAnsi="Fahkwang" w:cs="Fahkwang"/>
                <w:color w:val="2E2E2E"/>
              </w:rPr>
              <w:t xml:space="preserve"> (jovens adultos) para medir a profundidade do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Dossiê</w:t>
            </w:r>
            <w:r>
              <w:rPr>
                <w:rFonts w:ascii="Fahkwang" w:eastAsia="Fahkwang" w:hAnsi="Fahkwang" w:cs="Fahkwang"/>
                <w:color w:val="2E2E2E"/>
              </w:rPr>
              <w:t xml:space="preserve"> e o engajamento.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3BECB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Taxa de conclusão do chatbot de 90%; Net Promoter Score (NPS) &gt; 40 para o Dossiê. </w:t>
            </w:r>
          </w:p>
        </w:tc>
      </w:tr>
      <w:tr w:rsidR="00944661" w14:paraId="0930A57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B2BB11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Estrutura e Custos (Modelagem Financeira)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BF758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Finalizar a modelagem financeira, definindo preço B2C e preço de Licenciamento B2B.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0CD412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Projeção de LTV/CAC &gt; 3 no cenário realista e definição clara do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break-even point</w:t>
            </w:r>
            <w:r>
              <w:rPr>
                <w:rFonts w:ascii="Fahkwang" w:eastAsia="Fahkwang" w:hAnsi="Fahkwang" w:cs="Fahkwang"/>
                <w:color w:val="2E2E2E"/>
              </w:rPr>
              <w:t xml:space="preserve"> (ponto de equilíbrio). </w:t>
            </w:r>
          </w:p>
        </w:tc>
      </w:tr>
    </w:tbl>
    <w:p w14:paraId="2A476692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1036C150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Conclusão sobre a Validação </w:t>
      </w:r>
    </w:p>
    <w:p w14:paraId="1FA2DE79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 fase atual de validação está focada em </w:t>
      </w:r>
      <w:r>
        <w:rPr>
          <w:rFonts w:ascii="Fahkwang Bold" w:eastAsia="Fahkwang Bold" w:hAnsi="Fahkwang Bold" w:cs="Fahkwang Bold"/>
          <w:b/>
          <w:bCs/>
          <w:color w:val="2E2E2E"/>
        </w:rPr>
        <w:t>transformar o protótipo funcional em um produto validado por especialistas</w:t>
      </w:r>
      <w:r>
        <w:rPr>
          <w:rFonts w:ascii="Fahkwang" w:eastAsia="Fahkwang" w:hAnsi="Fahkwang" w:cs="Fahkwang"/>
          <w:color w:val="2E2E2E"/>
        </w:rPr>
        <w:t xml:space="preserve">. As etapas 1 e 2 (Validação B2B e Metodológica) são cruciais para reforçar nossa credibilidade e serão a base dos dados a serem apresentados na </w:t>
      </w:r>
      <w:r>
        <w:rPr>
          <w:rFonts w:ascii="Fahkwang" w:eastAsia="Fahkwang" w:hAnsi="Fahkwang" w:cs="Fahkwang"/>
          <w:color w:val="2E2E2E"/>
        </w:rPr>
        <w:lastRenderedPageBreak/>
        <w:t xml:space="preserve">próxima etapa da trilha. O que antes era uma "tese" de mercado, agora se tornará um "fato" validado por números e especialistas. </w:t>
      </w:r>
    </w:p>
    <w:p w14:paraId="463D9B94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44864B84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Visão geral do mercado e público-alvo </w:t>
      </w:r>
    </w:p>
    <w:p w14:paraId="6F0BDD1E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352EC3C2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Propositum está estrategicamente inserido na intersecção de três mercados de alto crescimento – </w:t>
      </w:r>
      <w:r>
        <w:rPr>
          <w:rFonts w:ascii="Fahkwang Bold" w:eastAsia="Fahkwang Bold" w:hAnsi="Fahkwang Bold" w:cs="Fahkwang Bold"/>
          <w:b/>
          <w:bCs/>
          <w:color w:val="2E2E2E"/>
        </w:rPr>
        <w:t>HR Tech, EdTech e Mental Health Tech</w:t>
      </w:r>
      <w:r>
        <w:rPr>
          <w:rFonts w:ascii="Fahkwang" w:eastAsia="Fahkwang" w:hAnsi="Fahkwang" w:cs="Fahkwang"/>
          <w:color w:val="2E2E2E"/>
        </w:rPr>
        <w:t xml:space="preserve"> – cujo valor de mercado global está em expansão contínua. Este ecossistema é impulsionado pela demanda por soluções de bem-estar corporativo e por ferramentas de orientação de carreira mais personalizadas. No entanto, o mercado padece de uma lacuna crítica: a ausência de soluções escaláveis que resolvam a </w:t>
      </w:r>
      <w:r>
        <w:rPr>
          <w:rFonts w:ascii="Fahkwang Bold" w:eastAsia="Fahkwang Bold" w:hAnsi="Fahkwang Bold" w:cs="Fahkwang Bold"/>
          <w:b/>
          <w:bCs/>
          <w:color w:val="2E2E2E"/>
        </w:rPr>
        <w:t>"crise de sentido e propósito"</w:t>
      </w:r>
      <w:r>
        <w:rPr>
          <w:rFonts w:ascii="Fahkwang" w:eastAsia="Fahkwang" w:hAnsi="Fahkwang" w:cs="Fahkwang"/>
          <w:color w:val="2E2E2E"/>
        </w:rPr>
        <w:t xml:space="preserve"> com o necessário rigor metodológico e ético. As opções existentes são polarizadas, sendo ou de alto custo (consultoria humana) ou superficiais (testes estáticos), o que cria o espaço ideal para a nossa </w:t>
      </w:r>
      <w:r>
        <w:rPr>
          <w:rFonts w:ascii="Fahkwang Bold" w:eastAsia="Fahkwang Bold" w:hAnsi="Fahkwang Bold" w:cs="Fahkwang Bold"/>
          <w:b/>
          <w:bCs/>
          <w:color w:val="2E2E2E"/>
        </w:rPr>
        <w:t>Triagem de Sentido baseada em Logoterapia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5E18A6B1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>Adotamos uma estratégia de dupla abordagem (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Dual Go-To-Market</w:t>
      </w:r>
      <w:r>
        <w:rPr>
          <w:rFonts w:ascii="Fahkwang" w:eastAsia="Fahkwang" w:hAnsi="Fahkwang" w:cs="Fahkwang"/>
          <w:color w:val="2E2E2E"/>
        </w:rPr>
        <w:t xml:space="preserve">) para garantir tanto a tração inicial quanto a escalabilidade de longo prazo. </w:t>
      </w:r>
    </w:p>
    <w:p w14:paraId="72BFBD7F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Nosso </w:t>
      </w:r>
      <w:r>
        <w:rPr>
          <w:rFonts w:ascii="Fahkwang Bold" w:eastAsia="Fahkwang Bold" w:hAnsi="Fahkwang Bold" w:cs="Fahkwang Bold"/>
          <w:b/>
          <w:bCs/>
          <w:color w:val="2E2E2E"/>
        </w:rPr>
        <w:t>Público B2C</w:t>
      </w:r>
      <w:r>
        <w:rPr>
          <w:rFonts w:ascii="Fahkwang" w:eastAsia="Fahkwang" w:hAnsi="Fahkwang" w:cs="Fahkwang"/>
          <w:color w:val="2E2E2E"/>
        </w:rPr>
        <w:t xml:space="preserve"> é composto principalmente por </w:t>
      </w:r>
      <w:r>
        <w:rPr>
          <w:rFonts w:ascii="Fahkwang Bold" w:eastAsia="Fahkwang Bold" w:hAnsi="Fahkwang Bold" w:cs="Fahkwang Bold"/>
          <w:b/>
          <w:bCs/>
          <w:color w:val="2E2E2E"/>
        </w:rPr>
        <w:t>jovens adultos (18-28 anos) e profissionais em transição de carreira</w:t>
      </w:r>
      <w:r>
        <w:rPr>
          <w:rFonts w:ascii="Fahkwang" w:eastAsia="Fahkwang" w:hAnsi="Fahkwang" w:cs="Fahkwang"/>
          <w:color w:val="2E2E2E"/>
        </w:rPr>
        <w:t xml:space="preserve">. Este público enfrenta ansiedade de carreira e a falta de propósito, mas hesita em investir em consultoria cara. Para eles, nossa proposta de valor é a </w:t>
      </w:r>
      <w:r>
        <w:rPr>
          <w:rFonts w:ascii="Fahkwang Bold" w:eastAsia="Fahkwang Bold" w:hAnsi="Fahkwang Bold" w:cs="Fahkwang Bold"/>
          <w:b/>
          <w:bCs/>
          <w:color w:val="2E2E2E"/>
        </w:rPr>
        <w:t>acessibilidade, velocidade e profundidade</w:t>
      </w:r>
      <w:r>
        <w:rPr>
          <w:rFonts w:ascii="Fahkwang" w:eastAsia="Fahkwang" w:hAnsi="Fahkwang" w:cs="Fahkwang"/>
          <w:color w:val="2E2E2E"/>
        </w:rPr>
        <w:t xml:space="preserve"> do </w:t>
      </w:r>
      <w:r>
        <w:rPr>
          <w:rFonts w:ascii="Fahkwang Bold" w:eastAsia="Fahkwang Bold" w:hAnsi="Fahkwang Bold" w:cs="Fahkwang Bold"/>
          <w:b/>
          <w:bCs/>
          <w:color w:val="2E2E2E"/>
        </w:rPr>
        <w:t>Dossiê de Sentido</w:t>
      </w:r>
      <w:r>
        <w:rPr>
          <w:rFonts w:ascii="Fahkwang" w:eastAsia="Fahkwang" w:hAnsi="Fahkwang" w:cs="Fahkwang"/>
          <w:color w:val="2E2E2E"/>
        </w:rPr>
        <w:t xml:space="preserve">, que lhes oferece um mapa claro de seus valores em minutos, atuando como um substituto eficaz das lentas sessões iniciais de triagem. A aquisição B2C será feita via canais digitais e monetizada </w:t>
      </w:r>
      <w:r>
        <w:rPr>
          <w:rFonts w:ascii="Fahkwang" w:eastAsia="Fahkwang" w:hAnsi="Fahkwang" w:cs="Fahkwang"/>
          <w:color w:val="2E2E2E"/>
        </w:rPr>
        <w:lastRenderedPageBreak/>
        <w:t xml:space="preserve">através de um modelo de </w:t>
      </w:r>
      <w:r>
        <w:rPr>
          <w:rFonts w:ascii="Fahkwang Bold" w:eastAsia="Fahkwang Bold" w:hAnsi="Fahkwang Bold" w:cs="Fahkwang Bold"/>
          <w:b/>
          <w:bCs/>
          <w:color w:val="2E2E2E"/>
        </w:rPr>
        <w:t>assinatura mensal</w:t>
      </w:r>
      <w:r>
        <w:rPr>
          <w:rFonts w:ascii="Fahkwang" w:eastAsia="Fahkwang" w:hAnsi="Fahkwang" w:cs="Fahkwang"/>
          <w:color w:val="2E2E2E"/>
        </w:rPr>
        <w:t xml:space="preserve">, focando na prova de conceito e na recuperação dos custos variáveis (CAC). </w:t>
      </w:r>
    </w:p>
    <w:p w14:paraId="40D5B23D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Em paralelo, o </w:t>
      </w:r>
      <w:r>
        <w:rPr>
          <w:rFonts w:ascii="Fahkwang Bold" w:eastAsia="Fahkwang Bold" w:hAnsi="Fahkwang Bold" w:cs="Fahkwang Bold"/>
          <w:b/>
          <w:bCs/>
          <w:color w:val="2E2E2E"/>
        </w:rPr>
        <w:t>Público B2B</w:t>
      </w:r>
      <w:r>
        <w:rPr>
          <w:rFonts w:ascii="Fahkwang" w:eastAsia="Fahkwang" w:hAnsi="Fahkwang" w:cs="Fahkwang"/>
          <w:color w:val="2E2E2E"/>
        </w:rPr>
        <w:t xml:space="preserve"> foca na </w:t>
      </w:r>
      <w:r>
        <w:rPr>
          <w:rFonts w:ascii="Fahkwang Bold" w:eastAsia="Fahkwang Bold" w:hAnsi="Fahkwang Bold" w:cs="Fahkwang Bold"/>
          <w:b/>
          <w:bCs/>
          <w:color w:val="2E2E2E"/>
        </w:rPr>
        <w:t>escalabilidade e na receita recorrente</w:t>
      </w:r>
      <w:r>
        <w:rPr>
          <w:rFonts w:ascii="Fahkwang" w:eastAsia="Fahkwang" w:hAnsi="Fahkwang" w:cs="Fahkwang"/>
          <w:color w:val="2E2E2E"/>
        </w:rPr>
        <w:t xml:space="preserve"> através do modelo de licenciamento anual. Miramos em dois segmentos principais: </w:t>
      </w:r>
      <w:r>
        <w:rPr>
          <w:rFonts w:ascii="Fahkwang Bold" w:eastAsia="Fahkwang Bold" w:hAnsi="Fahkwang Bold" w:cs="Fahkwang Bold"/>
          <w:b/>
          <w:bCs/>
          <w:color w:val="2E2E2E"/>
        </w:rPr>
        <w:t>Departamentos de Recursos Humanos (RH) de PMEs</w:t>
      </w:r>
      <w:r>
        <w:rPr>
          <w:rFonts w:ascii="Fahkwang" w:eastAsia="Fahkwang" w:hAnsi="Fahkwang" w:cs="Fahkwang"/>
          <w:color w:val="2E2E2E"/>
        </w:rPr>
        <w:t xml:space="preserve"> e </w:t>
      </w:r>
      <w:r>
        <w:rPr>
          <w:rFonts w:ascii="Fahkwang Bold" w:eastAsia="Fahkwang Bold" w:hAnsi="Fahkwang Bold" w:cs="Fahkwang Bold"/>
          <w:b/>
          <w:bCs/>
          <w:color w:val="2E2E2E"/>
        </w:rPr>
        <w:t>Equipes de Pedagogia/Orientação de Universidades</w:t>
      </w:r>
      <w:r>
        <w:rPr>
          <w:rFonts w:ascii="Fahkwang" w:eastAsia="Fahkwang" w:hAnsi="Fahkwang" w:cs="Fahkwang"/>
          <w:color w:val="2E2E2E"/>
        </w:rPr>
        <w:t xml:space="preserve">. Para o RH, a necessidade primária é reduzir o alto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turnover</w:t>
      </w:r>
      <w:r>
        <w:rPr>
          <w:rFonts w:ascii="Fahkwang" w:eastAsia="Fahkwang" w:hAnsi="Fahkwang" w:cs="Fahkwang"/>
          <w:color w:val="2E2E2E"/>
        </w:rPr>
        <w:t xml:space="preserve"> e o desengajamento; o Propositum fornece um </w:t>
      </w:r>
      <w:r>
        <w:rPr>
          <w:rFonts w:ascii="Fahkwang Bold" w:eastAsia="Fahkwang Bold" w:hAnsi="Fahkwang Bold" w:cs="Fahkwang Bold"/>
          <w:b/>
          <w:bCs/>
          <w:color w:val="2E2E2E"/>
        </w:rPr>
        <w:t>Diagnóstico Preditivo de Alinhamento de Propósito</w:t>
      </w:r>
      <w:r>
        <w:rPr>
          <w:rFonts w:ascii="Fahkwang" w:eastAsia="Fahkwang" w:hAnsi="Fahkwang" w:cs="Fahkwang"/>
          <w:color w:val="2E2E2E"/>
        </w:rPr>
        <w:t xml:space="preserve">, permitindo uma intervenção estratégica antes que o colaborador decida sair. Para as universidades, a ferramenta resolve o problema da </w:t>
      </w:r>
      <w:r>
        <w:rPr>
          <w:rFonts w:ascii="Fahkwang Bold" w:eastAsia="Fahkwang Bold" w:hAnsi="Fahkwang Bold" w:cs="Fahkwang Bold"/>
          <w:b/>
          <w:bCs/>
          <w:color w:val="2E2E2E"/>
        </w:rPr>
        <w:t>alta evasão de alunos</w:t>
      </w:r>
      <w:r>
        <w:rPr>
          <w:rFonts w:ascii="Fahkwang" w:eastAsia="Fahkwang" w:hAnsi="Fahkwang" w:cs="Fahkwang"/>
          <w:color w:val="2E2E2E"/>
        </w:rPr>
        <w:t xml:space="preserve"> por desorientação vocacional, capacitando os pedagogos a focar a intervenção humana nos casos de maior risco, utilizando os dados estratégicos gerados pela Triagem de Sentido da IA. </w:t>
      </w:r>
    </w:p>
    <w:p w14:paraId="6123A6CC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sucesso do Propositum está em servir o usuário final com autoconhecimento profundo (B2C) enquanto resolve o problema de eficiência e custo das grandes instituições (B2B), utilizando o mesmo núcleo tecnológico de Logoterapia. </w:t>
      </w:r>
    </w:p>
    <w:p w14:paraId="2FC2DBBE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6174D69F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Estratégia de escala e evolução do Propositum </w:t>
      </w:r>
    </w:p>
    <w:p w14:paraId="5A5A805B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5CFB00CB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 evolução do Propositum está planejada em um roteiro de três fases, garantindo que a escalabilidade seja construída sobre uma base sólida de validação metodológica e ética. Este plano visa mitigar riscos e posicionar o Propositum como líder na categoria de </w:t>
      </w:r>
      <w:r>
        <w:rPr>
          <w:rFonts w:ascii="Fahkwang Bold" w:eastAsia="Fahkwang Bold" w:hAnsi="Fahkwang Bold" w:cs="Fahkwang Bold"/>
          <w:b/>
          <w:bCs/>
          <w:color w:val="2E2E2E"/>
        </w:rPr>
        <w:t>Triagem de Sentido como Serviço (TSS)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245A4E81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Fase 1: Tração, Validação e Rigor (0 – 12 Meses) </w:t>
      </w:r>
    </w:p>
    <w:p w14:paraId="37826DC6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Nesta fase inicial, o foco é a </w:t>
      </w:r>
      <w:r>
        <w:rPr>
          <w:rFonts w:ascii="Fahkwang Bold" w:eastAsia="Fahkwang Bold" w:hAnsi="Fahkwang Bold" w:cs="Fahkwang Bold"/>
          <w:b/>
          <w:bCs/>
          <w:color w:val="2E2E2E"/>
        </w:rPr>
        <w:t>validação do Produto-Mercado (PMF)</w:t>
      </w:r>
      <w:r>
        <w:rPr>
          <w:rFonts w:ascii="Fahkwang" w:eastAsia="Fahkwang" w:hAnsi="Fahkwang" w:cs="Fahkwang"/>
          <w:color w:val="2E2E2E"/>
        </w:rPr>
        <w:t xml:space="preserve"> e o </w:t>
      </w:r>
      <w:r>
        <w:rPr>
          <w:rFonts w:ascii="Fahkwang Bold" w:eastAsia="Fahkwang Bold" w:hAnsi="Fahkwang Bold" w:cs="Fahkwang Bold"/>
          <w:b/>
          <w:bCs/>
          <w:color w:val="2E2E2E"/>
        </w:rPr>
        <w:t>estabelecimento do rigor ético</w:t>
      </w:r>
      <w:r>
        <w:rPr>
          <w:rFonts w:ascii="Fahkwang" w:eastAsia="Fahkwang" w:hAnsi="Fahkwang" w:cs="Fahkwang"/>
          <w:color w:val="2E2E2E"/>
        </w:rPr>
        <w:t xml:space="preserve">. O mercado primário é o </w:t>
      </w:r>
      <w:r>
        <w:rPr>
          <w:rFonts w:ascii="Fahkwang Bold" w:eastAsia="Fahkwang Bold" w:hAnsi="Fahkwang Bold" w:cs="Fahkwang Bold"/>
          <w:b/>
          <w:bCs/>
          <w:color w:val="2E2E2E"/>
        </w:rPr>
        <w:t>B2C (Jovens Adultos)</w:t>
      </w:r>
      <w:r>
        <w:rPr>
          <w:rFonts w:ascii="Fahkwang" w:eastAsia="Fahkwang" w:hAnsi="Fahkwang" w:cs="Fahkwang"/>
          <w:color w:val="2E2E2E"/>
        </w:rPr>
        <w:t xml:space="preserve">, utilizando um modelo de </w:t>
      </w:r>
      <w:r>
        <w:rPr>
          <w:rFonts w:ascii="Fahkwang Bold" w:eastAsia="Fahkwang Bold" w:hAnsi="Fahkwang Bold" w:cs="Fahkwang Bold"/>
          <w:b/>
          <w:bCs/>
          <w:color w:val="2E2E2E"/>
        </w:rPr>
        <w:t>assinatura mensal</w:t>
      </w:r>
      <w:r>
        <w:rPr>
          <w:rFonts w:ascii="Fahkwang" w:eastAsia="Fahkwang" w:hAnsi="Fahkwang" w:cs="Fahkwang"/>
          <w:color w:val="2E2E2E"/>
        </w:rPr>
        <w:t xml:space="preserve"> de baixo custo para provar a utilidade e a profundidade do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Dossiê de Sentido</w:t>
      </w:r>
      <w:r>
        <w:rPr>
          <w:rFonts w:ascii="Fahkwang" w:eastAsia="Fahkwang" w:hAnsi="Fahkwang" w:cs="Fahkwang"/>
          <w:color w:val="2E2E2E"/>
        </w:rPr>
        <w:t xml:space="preserve">. O produto evolui com a finalização do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chatbot</w:t>
      </w:r>
      <w:r>
        <w:rPr>
          <w:rFonts w:ascii="Fahkwang" w:eastAsia="Fahkwang" w:hAnsi="Fahkwang" w:cs="Fahkwang"/>
          <w:color w:val="2E2E2E"/>
        </w:rPr>
        <w:t xml:space="preserve"> principal e a implementação do </w:t>
      </w:r>
      <w:r>
        <w:rPr>
          <w:rFonts w:ascii="Fahkwang Bold" w:eastAsia="Fahkwang Bold" w:hAnsi="Fahkwang Bold" w:cs="Fahkwang Bold"/>
          <w:b/>
          <w:bCs/>
          <w:color w:val="2E2E2E"/>
        </w:rPr>
        <w:t>Protocolo de Aviso Ético</w:t>
      </w:r>
      <w:r>
        <w:rPr>
          <w:rFonts w:ascii="Fahkwang" w:eastAsia="Fahkwang" w:hAnsi="Fahkwang" w:cs="Fahkwang"/>
          <w:color w:val="2E2E2E"/>
        </w:rPr>
        <w:t xml:space="preserve"> e da conformidade plena com a LGPD. O sucesso será medido pela tração B2C e pela formalização e atuação do </w:t>
      </w:r>
      <w:r>
        <w:rPr>
          <w:rFonts w:ascii="Fahkwang Bold" w:eastAsia="Fahkwang Bold" w:hAnsi="Fahkwang Bold" w:cs="Fahkwang Bold"/>
          <w:b/>
          <w:bCs/>
          <w:color w:val="2E2E2E"/>
        </w:rPr>
        <w:t>Conselho Consultivo Ético (CCE)</w:t>
      </w:r>
      <w:r>
        <w:rPr>
          <w:rFonts w:ascii="Fahkwang" w:eastAsia="Fahkwang" w:hAnsi="Fahkwang" w:cs="Fahkwang"/>
          <w:color w:val="2E2E2E"/>
        </w:rPr>
        <w:t xml:space="preserve">, que validará clinicamente 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framework</w:t>
      </w:r>
      <w:r>
        <w:rPr>
          <w:rFonts w:ascii="Fahkwang" w:eastAsia="Fahkwang" w:hAnsi="Fahkwang" w:cs="Fahkwang"/>
          <w:color w:val="2E2E2E"/>
        </w:rPr>
        <w:t xml:space="preserve"> Logoterapêutico. É nesta fase que buscamos as primeiras </w:t>
      </w:r>
      <w:r>
        <w:rPr>
          <w:rFonts w:ascii="Fahkwang Bold" w:eastAsia="Fahkwang Bold" w:hAnsi="Fahkwang Bold" w:cs="Fahkwang Bold"/>
          <w:b/>
          <w:bCs/>
          <w:color w:val="2E2E2E"/>
        </w:rPr>
        <w:t>Provas de Valor (PoV)</w:t>
      </w:r>
      <w:r>
        <w:rPr>
          <w:rFonts w:ascii="Fahkwang" w:eastAsia="Fahkwang" w:hAnsi="Fahkwang" w:cs="Fahkwang"/>
          <w:color w:val="2E2E2E"/>
        </w:rPr>
        <w:t xml:space="preserve"> B2B com universidades e RHs, a preço de custo, para coletar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feedback</w:t>
      </w:r>
      <w:r>
        <w:rPr>
          <w:rFonts w:ascii="Fahkwang" w:eastAsia="Fahkwang" w:hAnsi="Fahkwang" w:cs="Fahkwang"/>
          <w:color w:val="2E2E2E"/>
        </w:rPr>
        <w:t xml:space="preserve"> real do cliente institucional. </w:t>
      </w:r>
    </w:p>
    <w:p w14:paraId="21BA26A3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Fase 2: Escalabilidade B2B e Expansão de Produto (13 – 24 Meses) </w:t>
      </w:r>
    </w:p>
    <w:p w14:paraId="7D690FA8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 segunda fase marca a transição estratégica para o </w:t>
      </w:r>
      <w:r>
        <w:rPr>
          <w:rFonts w:ascii="Fahkwang Bold" w:eastAsia="Fahkwang Bold" w:hAnsi="Fahkwang Bold" w:cs="Fahkwang Bold"/>
          <w:b/>
          <w:bCs/>
          <w:color w:val="2E2E2E"/>
        </w:rPr>
        <w:t>modelo de Licenciamento Anual B2B</w:t>
      </w:r>
      <w:r>
        <w:rPr>
          <w:rFonts w:ascii="Fahkwang" w:eastAsia="Fahkwang" w:hAnsi="Fahkwang" w:cs="Fahkwang"/>
          <w:color w:val="2E2E2E"/>
        </w:rPr>
        <w:t xml:space="preserve">, a principal fonte de receita recorrente. A expansão de mercado é agressiva, visando a consolidação no segmento de RH de PMEs e nas instituições de ensino. O produto evolui significativamente com o lançamento do </w:t>
      </w:r>
      <w:r>
        <w:rPr>
          <w:rFonts w:ascii="Fahkwang Bold" w:eastAsia="Fahkwang Bold" w:hAnsi="Fahkwang Bold" w:cs="Fahkwang Bold"/>
          <w:b/>
          <w:bCs/>
          <w:color w:val="2E2E2E"/>
        </w:rPr>
        <w:t>Módulo de Dashboard B2B</w:t>
      </w:r>
      <w:r>
        <w:rPr>
          <w:rFonts w:ascii="Fahkwang" w:eastAsia="Fahkwang" w:hAnsi="Fahkwang" w:cs="Fahkwang"/>
          <w:color w:val="2E2E2E"/>
        </w:rPr>
        <w:t xml:space="preserve">, uma interface crucial que fornece aos profissionais de RH e Pedagogia relatórios anônimos e agregados, contendo </w:t>
      </w:r>
      <w:r>
        <w:rPr>
          <w:rFonts w:ascii="Fahkwang Bold" w:eastAsia="Fahkwang Bold" w:hAnsi="Fahkwang Bold" w:cs="Fahkwang Bold"/>
          <w:b/>
          <w:bCs/>
          <w:color w:val="2E2E2E"/>
        </w:rPr>
        <w:t>indicadores preditivos de risco</w:t>
      </w:r>
      <w:r>
        <w:rPr>
          <w:rFonts w:ascii="Fahkwang" w:eastAsia="Fahkwang" w:hAnsi="Fahkwang" w:cs="Fahkwang"/>
          <w:color w:val="2E2E2E"/>
        </w:rPr>
        <w:t xml:space="preserve"> de evasão e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turnover</w:t>
      </w:r>
      <w:r>
        <w:rPr>
          <w:rFonts w:ascii="Fahkwang" w:eastAsia="Fahkwang" w:hAnsi="Fahkwang" w:cs="Fahkwang"/>
          <w:color w:val="2E2E2E"/>
        </w:rPr>
        <w:t xml:space="preserve">. Isso transforma o Propositum de uma ferramenta individual em uma </w:t>
      </w:r>
      <w:r>
        <w:rPr>
          <w:rFonts w:ascii="Fahkwang Bold" w:eastAsia="Fahkwang Bold" w:hAnsi="Fahkwang Bold" w:cs="Fahkwang Bold"/>
          <w:b/>
          <w:bCs/>
          <w:color w:val="2E2E2E"/>
        </w:rPr>
        <w:t>solução estratégica de gestão de talentos</w:t>
      </w:r>
      <w:r>
        <w:rPr>
          <w:rFonts w:ascii="Fahkwang" w:eastAsia="Fahkwang" w:hAnsi="Fahkwang" w:cs="Fahkwang"/>
          <w:color w:val="2E2E2E"/>
        </w:rPr>
        <w:t xml:space="preserve">. Além disso, iniciamos a expansão geográfica através da </w:t>
      </w:r>
      <w:r>
        <w:rPr>
          <w:rFonts w:ascii="Fahkwang Bold" w:eastAsia="Fahkwang Bold" w:hAnsi="Fahkwang Bold" w:cs="Fahkwang Bold"/>
          <w:b/>
          <w:bCs/>
          <w:color w:val="2E2E2E"/>
        </w:rPr>
        <w:t>localização e multilinguismo</w:t>
      </w:r>
      <w:r>
        <w:rPr>
          <w:rFonts w:ascii="Fahkwang" w:eastAsia="Fahkwang" w:hAnsi="Fahkwang" w:cs="Fahkwang"/>
          <w:color w:val="2E2E2E"/>
        </w:rPr>
        <w:t xml:space="preserve">, adaptando a metodologia a novas culturas, com foco inicial em mercados da América Latina e Espanha. </w:t>
      </w:r>
    </w:p>
    <w:p w14:paraId="428A9512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Fase 3: Liderança, Diversificação e Referência Ética (25 – 36 Meses) </w:t>
      </w:r>
    </w:p>
    <w:p w14:paraId="5985A2E3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A fase final foca na consolidação do Propositum como o principal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player</w:t>
      </w:r>
      <w:r>
        <w:rPr>
          <w:rFonts w:ascii="Fahkwang" w:eastAsia="Fahkwang" w:hAnsi="Fahkwang" w:cs="Fahkwang"/>
          <w:color w:val="2E2E2E"/>
        </w:rPr>
        <w:t xml:space="preserve"> em Triagem de Sentido no Brasil e na diversificação do produto. Nosso objetivo é estabelecer o Propositum como a </w:t>
      </w:r>
      <w:r>
        <w:rPr>
          <w:rFonts w:ascii="Fahkwang Bold" w:eastAsia="Fahkwang Bold" w:hAnsi="Fahkwang Bold" w:cs="Fahkwang Bold"/>
          <w:b/>
          <w:bCs/>
          <w:color w:val="2E2E2E"/>
        </w:rPr>
        <w:t>referência em ética e metodologia</w:t>
      </w:r>
      <w:r>
        <w:rPr>
          <w:rFonts w:ascii="Fahkwang" w:eastAsia="Fahkwang" w:hAnsi="Fahkwang" w:cs="Fahkwang"/>
          <w:color w:val="2E2E2E"/>
        </w:rPr>
        <w:t xml:space="preserve"> em IA para propósito, culminando na publicação de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whitepapers</w:t>
      </w:r>
      <w:r>
        <w:rPr>
          <w:rFonts w:ascii="Fahkwang" w:eastAsia="Fahkwang" w:hAnsi="Fahkwang" w:cs="Fahkwang"/>
          <w:color w:val="2E2E2E"/>
        </w:rPr>
        <w:t xml:space="preserve"> e artigos em conjunto com o CCE. O produto se aprofunda com o </w:t>
      </w:r>
      <w:r>
        <w:rPr>
          <w:rFonts w:ascii="Fahkwang Bold" w:eastAsia="Fahkwang Bold" w:hAnsi="Fahkwang Bold" w:cs="Fahkwang Bold"/>
          <w:b/>
          <w:bCs/>
          <w:color w:val="2E2E2E"/>
        </w:rPr>
        <w:t>Módulo de Intervenção Sugerida</w:t>
      </w:r>
      <w:r>
        <w:rPr>
          <w:rFonts w:ascii="Fahkwang" w:eastAsia="Fahkwang" w:hAnsi="Fahkwang" w:cs="Fahkwang"/>
          <w:color w:val="2E2E2E"/>
        </w:rPr>
        <w:t xml:space="preserve">, fornecendo ao profissional humano sugestões imediatas de exercícios e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prompts</w:t>
      </w:r>
      <w:r>
        <w:rPr>
          <w:rFonts w:ascii="Fahkwang" w:eastAsia="Fahkwang" w:hAnsi="Fahkwang" w:cs="Fahkwang"/>
          <w:color w:val="2E2E2E"/>
        </w:rPr>
        <w:t xml:space="preserve"> logoterapêuticos alinhados ao Dossiê da IA. A estratégia de escala se completa através da exploração de </w:t>
      </w:r>
      <w:r>
        <w:rPr>
          <w:rFonts w:ascii="Fahkwang Bold" w:eastAsia="Fahkwang Bold" w:hAnsi="Fahkwang Bold" w:cs="Fahkwang Bold"/>
          <w:b/>
          <w:bCs/>
          <w:color w:val="2E2E2E"/>
        </w:rPr>
        <w:t>parcerias estratégicas</w:t>
      </w:r>
      <w:r>
        <w:rPr>
          <w:rFonts w:ascii="Fahkwang" w:eastAsia="Fahkwang" w:hAnsi="Fahkwang" w:cs="Fahkwang"/>
          <w:color w:val="2E2E2E"/>
        </w:rPr>
        <w:t xml:space="preserve"> com grandes consultorias e a introdução de novos modelos de LLM para entregar uma experiência de propósito ainda mais contextualizada e personalizada, garantindo a sustentabilidade e a liderança de mercado. </w:t>
      </w:r>
    </w:p>
    <w:p w14:paraId="76C6C603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42A76257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KPIs de sucesso do Propositum </w:t>
      </w:r>
    </w:p>
    <w:p w14:paraId="2A748A2F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53E5FA1A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Os KPIs (Key Performance Indicators) foram selecionados para medir o sucesso em três dimensões cruciais: </w:t>
      </w:r>
      <w:r>
        <w:rPr>
          <w:rFonts w:ascii="Fahkwang Bold" w:eastAsia="Fahkwang Bold" w:hAnsi="Fahkwang Bold" w:cs="Fahkwang Bold"/>
          <w:b/>
          <w:bCs/>
          <w:color w:val="2E2E2E"/>
        </w:rPr>
        <w:t>Rigor Metodológico</w:t>
      </w:r>
      <w:r>
        <w:rPr>
          <w:rFonts w:ascii="Fahkwang" w:eastAsia="Fahkwang" w:hAnsi="Fahkwang" w:cs="Fahkwang"/>
          <w:color w:val="2E2E2E"/>
        </w:rPr>
        <w:t xml:space="preserve">, </w:t>
      </w:r>
      <w:r>
        <w:rPr>
          <w:rFonts w:ascii="Fahkwang Bold" w:eastAsia="Fahkwang Bold" w:hAnsi="Fahkwang Bold" w:cs="Fahkwang Bold"/>
          <w:b/>
          <w:bCs/>
          <w:color w:val="2E2E2E"/>
        </w:rPr>
        <w:t>Tração B2C</w:t>
      </w:r>
      <w:r>
        <w:rPr>
          <w:rFonts w:ascii="Fahkwang" w:eastAsia="Fahkwang" w:hAnsi="Fahkwang" w:cs="Fahkwang"/>
          <w:color w:val="2E2E2E"/>
        </w:rPr>
        <w:t xml:space="preserve"> e </w:t>
      </w:r>
      <w:r>
        <w:rPr>
          <w:rFonts w:ascii="Fahkwang Bold" w:eastAsia="Fahkwang Bold" w:hAnsi="Fahkwang Bold" w:cs="Fahkwang Bold"/>
          <w:b/>
          <w:bCs/>
          <w:color w:val="2E2E2E"/>
        </w:rPr>
        <w:t>Escalabilidade B2B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38B886CC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I. KPIs de Metodologia e Rigor (Credibilidade Central) </w:t>
      </w:r>
    </w:p>
    <w:p w14:paraId="1A18014D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Estes KPIs medem o sucesso da nossa Proposta de Valor Única (Logoterapia e Ética).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1B9D7AB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F69B80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Métrica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83DA5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Objetivo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2182A3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Horizonte (12 Meses) </w:t>
            </w:r>
          </w:p>
        </w:tc>
      </w:tr>
      <w:tr w:rsidR="00944661" w14:paraId="48CBB9C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787E3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Aceitação do Dossiê pelo CCE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8EDA6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Percentual de validação do Dossiê de Sentido pelo </w:t>
            </w:r>
            <w:r>
              <w:rPr>
                <w:rFonts w:ascii="Fahkwang" w:eastAsia="Fahkwang" w:hAnsi="Fahkwang" w:cs="Fahkwang"/>
                <w:color w:val="2E2E2E"/>
              </w:rPr>
              <w:lastRenderedPageBreak/>
              <w:t xml:space="preserve">Conselho Consultivo Ético, garantindo a ausência de vieses e segurança metodológica.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5C58E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lastRenderedPageBreak/>
              <w:t xml:space="preserve">100% de Aprovação Metodológica na auditoria inicial. </w:t>
            </w:r>
          </w:p>
        </w:tc>
      </w:tr>
      <w:tr w:rsidR="00944661" w14:paraId="0660CAA7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376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Taxa de Profundidade Conversacional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90322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Média de turnos de diálogo por sessão de usuário antes da geração do Dossiê, garantindo que a IA não seja superficial.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E182B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Média de 10 a 15 turnos (conversas aprofundadas). </w:t>
            </w:r>
          </w:p>
        </w:tc>
      </w:tr>
      <w:tr w:rsidR="00944661" w14:paraId="3B409DB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4B1B2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Nível de Risco de Vieses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5E2AC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Métrica interna que avalia a frequência de "flags" (sinalizadores) de vieses ou linguagem potencialmente diagnóstica na saída da IA.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9C965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Manter a pontuação de risco abaixo de 5%. </w:t>
            </w:r>
          </w:p>
        </w:tc>
      </w:tr>
    </w:tbl>
    <w:p w14:paraId="38EE3C1C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2684C97A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II. KPIs de Tração B2C (Validação de Produto) </w:t>
      </w:r>
    </w:p>
    <w:p w14:paraId="4F3215DA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Estes KPIs medem a eficácia do nosso modelo de assinatura e o engajamento do usuário final.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4C856FE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7D1F71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Métrica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2C0453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Objetivo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AEA890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Horizonte (12 Meses) </w:t>
            </w:r>
          </w:p>
        </w:tc>
      </w:tr>
      <w:tr w:rsidR="00944661" w14:paraId="260DA1E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23F29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lastRenderedPageBreak/>
              <w:t>Taxa de Conclusão do Chatbot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1DC79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Percentual de usuários que iniciam a triagem e completam o diálogo até a geração do Dossiê.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7E018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Mínimo de 85%. </w:t>
            </w:r>
          </w:p>
        </w:tc>
      </w:tr>
      <w:tr w:rsidR="00944661" w14:paraId="1021397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0949DF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Net Promoter Score (NPS)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63F53C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Mede a satisfação e a probabilidade de recomendação do Dossiê de Sentido pelos usuários.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C3D72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NPS &gt; 40 (Indicador de "Promotores" fortes). </w:t>
            </w:r>
          </w:p>
        </w:tc>
      </w:tr>
      <w:tr w:rsidR="00944661" w14:paraId="3B8FFDC7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A6B60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Churn B2C (Cancelamento)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A28AB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Percentual de usuários de assinatura que cancelam após o primeiro mês.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B0ED64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Manter o Churn abaixo de 10%. </w:t>
            </w:r>
          </w:p>
        </w:tc>
      </w:tr>
      <w:tr w:rsidR="00944661" w14:paraId="3974EAC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079D14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Custo de Aquisição de Cliente (CAC)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21BD51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Custo médio para adquirir um novo assinante B2C.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6896F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Manter o CAC abaixo de R$ 20,00. </w:t>
            </w:r>
          </w:p>
        </w:tc>
      </w:tr>
    </w:tbl>
    <w:p w14:paraId="555EEA91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3559B191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III. KPIs de Escalabilidade B2B (Foco na Receita) </w:t>
      </w:r>
    </w:p>
    <w:p w14:paraId="4CFDC8F0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Estes KPIs medem a penetração no mercado institucional e o sucesso do nosso licenciamento SaaS.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75C1966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12810B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lastRenderedPageBreak/>
              <w:t xml:space="preserve">Métrica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ED6561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Objetivo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5700AD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Horizonte (24 Meses) </w:t>
            </w:r>
          </w:p>
        </w:tc>
      </w:tr>
      <w:tr w:rsidR="00944661" w14:paraId="18675E8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B4F2E6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Número de PoVs B2B Convertidos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71BA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Quantidade de Provas de Valor (PoV) B2B que se convertem em contratos de Licenciamento Anual (SaaS).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4B9A33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Mínimo de 3 contratos fechados no primeiro ano de operação B2B. </w:t>
            </w:r>
          </w:p>
        </w:tc>
      </w:tr>
      <w:tr w:rsidR="00944661" w14:paraId="0C34A39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A2769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Economia de Tempo de Apoio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ACBAB4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Tempo médio economizado pela equipe de RH/Pedagogia devido à triagem prévia do Propositum.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834D2E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Redução de 20% no tempo de triagem inicial da equipe humana. </w:t>
            </w:r>
          </w:p>
        </w:tc>
      </w:tr>
      <w:tr w:rsidR="00944661" w14:paraId="5A381BC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75D04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Evasão/Turnover Reduzido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C4BCA9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Impacto mensurado do Propositum na redução das taxas de evasão (Universidade) ou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turnover</w:t>
            </w:r>
            <w:r>
              <w:rPr>
                <w:rFonts w:ascii="Fahkwang" w:eastAsia="Fahkwang" w:hAnsi="Fahkwang" w:cs="Fahkwang"/>
                <w:color w:val="2E2E2E"/>
              </w:rPr>
              <w:t xml:space="preserve"> (Empresa) nos clientes B2B.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86A36B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Redução de 5% a 10% nas taxas de risco. </w:t>
            </w:r>
          </w:p>
        </w:tc>
      </w:tr>
    </w:tbl>
    <w:p w14:paraId="358FA92B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6359AFB6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IV. KPIs Financeiros e de Sustentabilidade </w:t>
      </w:r>
    </w:p>
    <w:p w14:paraId="02B6B1D6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Estes KPIs medem a saúde financeira geral do projeto.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44661" w14:paraId="4AA2D57B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D1149E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lastRenderedPageBreak/>
              <w:t xml:space="preserve">Métrica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10BBE1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Objetivo </w:t>
            </w:r>
          </w:p>
        </w:tc>
        <w:tc>
          <w:tcPr>
            <w:tcW w:w="3010" w:type="dxa"/>
            <w:shd w:val="clear" w:color="auto" w:fill="EBE0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048658" w14:textId="77777777" w:rsidR="00944661" w:rsidRDefault="00000000">
            <w:pPr>
              <w:spacing w:before="120" w:after="120" w:line="336" w:lineRule="auto"/>
              <w:jc w:val="center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 xml:space="preserve">Horizonte (24 Meses) </w:t>
            </w:r>
          </w:p>
        </w:tc>
      </w:tr>
      <w:tr w:rsidR="00944661" w14:paraId="114DCDD2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E49EA8" w14:textId="77777777" w:rsidR="00944661" w:rsidRPr="00D00ECF" w:rsidRDefault="00000000">
            <w:pPr>
              <w:spacing w:before="120" w:after="120" w:line="336" w:lineRule="auto"/>
              <w:rPr>
                <w:lang w:val="en-US"/>
              </w:rPr>
            </w:pPr>
            <w:r w:rsidRPr="00D00ECF">
              <w:rPr>
                <w:rFonts w:ascii="Fahkwang Bold" w:eastAsia="Fahkwang Bold" w:hAnsi="Fahkwang Bold" w:cs="Fahkwang Bold"/>
                <w:b/>
                <w:bCs/>
                <w:color w:val="2E2E2E"/>
                <w:lang w:val="en-US"/>
              </w:rPr>
              <w:t>Lifetime Value / CAC (LTV/CAC)</w:t>
            </w:r>
            <w:r w:rsidRPr="00D00ECF">
              <w:rPr>
                <w:rFonts w:ascii="Fahkwang" w:eastAsia="Fahkwang" w:hAnsi="Fahkwang" w:cs="Fahkwang"/>
                <w:color w:val="2E2E2E"/>
                <w:lang w:val="en-US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A77E1A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Proporção entre o valor de vida do cliente e o custo de aquisição.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9D9AF0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LTV/CAC &gt; 3 (Cada real investido gera três ou mais de retorno). </w:t>
            </w:r>
          </w:p>
        </w:tc>
      </w:tr>
      <w:tr w:rsidR="00944661" w14:paraId="51245D6C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DDA29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Margem Bruta (B2B)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B368A1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Lucratividade dos contratos de licenciamento após a dedução dos custos diretos (ex: uso da API de LLM).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C1A002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Margem Bruta B2B &gt; 70%. </w:t>
            </w:r>
          </w:p>
        </w:tc>
      </w:tr>
      <w:tr w:rsidR="00944661" w14:paraId="041DE7B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20C9E7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 Bold" w:eastAsia="Fahkwang Bold" w:hAnsi="Fahkwang Bold" w:cs="Fahkwang Bold"/>
                <w:b/>
                <w:bCs/>
                <w:color w:val="2E2E2E"/>
              </w:rPr>
              <w:t>Break-Even Point (Ponto de Equilíbrio)</w:t>
            </w:r>
            <w:r>
              <w:rPr>
                <w:rFonts w:ascii="Fahkwang" w:eastAsia="Fahkwang" w:hAnsi="Fahkwang" w:cs="Fahkwang"/>
                <w:color w:val="2E2E2E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EEA2AC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Mês em que a receita total supera os custos operacionais (fixos e variáveis).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E36EC8" w14:textId="77777777" w:rsidR="00944661" w:rsidRDefault="00000000">
            <w:pPr>
              <w:spacing w:before="120" w:after="120" w:line="336" w:lineRule="auto"/>
            </w:pPr>
            <w:r>
              <w:rPr>
                <w:rFonts w:ascii="Fahkwang" w:eastAsia="Fahkwang" w:hAnsi="Fahkwang" w:cs="Fahkwang"/>
                <w:color w:val="2E2E2E"/>
              </w:rPr>
              <w:t xml:space="preserve">Alcançar o </w:t>
            </w:r>
            <w:r>
              <w:rPr>
                <w:rFonts w:ascii="Fahkwang Italics" w:eastAsia="Fahkwang Italics" w:hAnsi="Fahkwang Italics" w:cs="Fahkwang Italics"/>
                <w:i/>
                <w:iCs/>
                <w:color w:val="2E2E2E"/>
              </w:rPr>
              <w:t>Break-Even</w:t>
            </w:r>
            <w:r>
              <w:rPr>
                <w:rFonts w:ascii="Fahkwang" w:eastAsia="Fahkwang" w:hAnsi="Fahkwang" w:cs="Fahkwang"/>
                <w:color w:val="2E2E2E"/>
              </w:rPr>
              <w:t xml:space="preserve"> em até 18 meses. </w:t>
            </w:r>
          </w:p>
        </w:tc>
      </w:tr>
    </w:tbl>
    <w:p w14:paraId="0A502BE2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40B037FF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Riscos </w:t>
      </w:r>
    </w:p>
    <w:p w14:paraId="436102A2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7BAEE840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Apesar do potencial de mercado e da clareza metodológica, o Propositum enfrenta riscos inerentes à inovação em IA e à manipulação de dados sensíveis. A gestão proativa destes riscos é essencial para a sustentabilidade e a credibilidade do projeto. </w:t>
      </w:r>
    </w:p>
    <w:p w14:paraId="0010D292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Riscos Metodológicos e Éticos (Risco de Credibilidade) </w:t>
      </w:r>
    </w:p>
    <w:p w14:paraId="206ACD22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Este é o risco mais crítico, pois afeta diretamente a confiança na metodologia e a diferenciação de mercado do Propositum. O principal desafio é o </w:t>
      </w:r>
      <w:r>
        <w:rPr>
          <w:rFonts w:ascii="Fahkwang Bold" w:eastAsia="Fahkwang Bold" w:hAnsi="Fahkwang Bold" w:cs="Fahkwang Bold"/>
          <w:b/>
          <w:bCs/>
          <w:color w:val="2E2E2E"/>
        </w:rPr>
        <w:t>Viés da Inteligência Artificial</w:t>
      </w:r>
      <w:r>
        <w:rPr>
          <w:rFonts w:ascii="Fahkwang" w:eastAsia="Fahkwang" w:hAnsi="Fahkwang" w:cs="Fahkwang"/>
          <w:color w:val="2E2E2E"/>
        </w:rPr>
        <w:t xml:space="preserve">, onde a LLM (Large Language Model) pode gerar vieses ou linguagem que pareça diagnóstica, violando a promessa de não-diagnóstico. Outro risco é a </w:t>
      </w:r>
      <w:r>
        <w:rPr>
          <w:rFonts w:ascii="Fahkwang Bold" w:eastAsia="Fahkwang Bold" w:hAnsi="Fahkwang Bold" w:cs="Fahkwang Bold"/>
          <w:b/>
          <w:bCs/>
          <w:color w:val="2E2E2E"/>
        </w:rPr>
        <w:t>Falha na Adesão à Logoterapia</w:t>
      </w:r>
      <w:r>
        <w:rPr>
          <w:rFonts w:ascii="Fahkwang" w:eastAsia="Fahkwang" w:hAnsi="Fahkwang" w:cs="Fahkwang"/>
          <w:color w:val="2E2E2E"/>
        </w:rPr>
        <w:t xml:space="preserve">, onde 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chatbot</w:t>
      </w:r>
      <w:r>
        <w:rPr>
          <w:rFonts w:ascii="Fahkwang" w:eastAsia="Fahkwang" w:hAnsi="Fahkwang" w:cs="Fahkwang"/>
          <w:color w:val="2E2E2E"/>
        </w:rPr>
        <w:t xml:space="preserve"> pode se desviar do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framework</w:t>
      </w:r>
      <w:r>
        <w:rPr>
          <w:rFonts w:ascii="Fahkwang" w:eastAsia="Fahkwang" w:hAnsi="Fahkwang" w:cs="Fahkwang"/>
          <w:color w:val="2E2E2E"/>
        </w:rPr>
        <w:t xml:space="preserve"> de Victor Frankl, tornando o resultado superficial, similar aos concorrentes genéricos. Para mitigar isso, o </w:t>
      </w:r>
      <w:r>
        <w:rPr>
          <w:rFonts w:ascii="Fahkwang Bold" w:eastAsia="Fahkwang Bold" w:hAnsi="Fahkwang Bold" w:cs="Fahkwang Bold"/>
          <w:b/>
          <w:bCs/>
          <w:color w:val="2E2E2E"/>
        </w:rPr>
        <w:t>Conselho Consultivo Ético (CCE)</w:t>
      </w:r>
      <w:r>
        <w:rPr>
          <w:rFonts w:ascii="Fahkwang" w:eastAsia="Fahkwang" w:hAnsi="Fahkwang" w:cs="Fahkwang"/>
          <w:color w:val="2E2E2E"/>
        </w:rPr>
        <w:t xml:space="preserve"> e a métrica de </w:t>
      </w:r>
      <w:r>
        <w:rPr>
          <w:rFonts w:ascii="Fahkwang Bold" w:eastAsia="Fahkwang Bold" w:hAnsi="Fahkwang Bold" w:cs="Fahkwang Bold"/>
          <w:b/>
          <w:bCs/>
          <w:color w:val="2E2E2E"/>
        </w:rPr>
        <w:t>Aceitação do Dossiê</w:t>
      </w:r>
      <w:r>
        <w:rPr>
          <w:rFonts w:ascii="Fahkwang" w:eastAsia="Fahkwang" w:hAnsi="Fahkwang" w:cs="Fahkwang"/>
          <w:color w:val="2E2E2E"/>
        </w:rPr>
        <w:t xml:space="preserve"> (100% de aprovação metodológica) são cruciais, garantindo a auditoria contínua da saída da IA. </w:t>
      </w:r>
    </w:p>
    <w:p w14:paraId="3C4C5DA1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Riscos Tecnológicos e Operacionais (Risco de Execução) </w:t>
      </w:r>
    </w:p>
    <w:p w14:paraId="58B0CD84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sucesso da solução depende da estabilidade e precisão da tecnologia. O risco de </w:t>
      </w:r>
      <w:r>
        <w:rPr>
          <w:rFonts w:ascii="Fahkwang Bold" w:eastAsia="Fahkwang Bold" w:hAnsi="Fahkwang Bold" w:cs="Fahkwang Bold"/>
          <w:b/>
          <w:bCs/>
          <w:color w:val="2E2E2E"/>
        </w:rPr>
        <w:t>Dependência de Terceiros (API)</w:t>
      </w:r>
      <w:r>
        <w:rPr>
          <w:rFonts w:ascii="Fahkwang" w:eastAsia="Fahkwang" w:hAnsi="Fahkwang" w:cs="Fahkwang"/>
          <w:color w:val="2E2E2E"/>
        </w:rPr>
        <w:t xml:space="preserve"> é elevado, pois o core do processamento depende da API de um provedor de LLM (como Gemini). Qualquer alteração no preço ou disponibilidade da API impacta diretamente a Margem Bruta (B2B). Há também o risco de </w:t>
      </w:r>
      <w:r>
        <w:rPr>
          <w:rFonts w:ascii="Fahkwang Bold" w:eastAsia="Fahkwang Bold" w:hAnsi="Fahkwang Bold" w:cs="Fahkwang Bold"/>
          <w:b/>
          <w:bCs/>
          <w:color w:val="2E2E2E"/>
        </w:rPr>
        <w:t>Escalabilidade Técnica</w:t>
      </w:r>
      <w:r>
        <w:rPr>
          <w:rFonts w:ascii="Fahkwang" w:eastAsia="Fahkwang" w:hAnsi="Fahkwang" w:cs="Fahkwang"/>
          <w:color w:val="2E2E2E"/>
        </w:rPr>
        <w:t xml:space="preserve">, onde a infraestrutura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cloud</w:t>
      </w:r>
      <w:r>
        <w:rPr>
          <w:rFonts w:ascii="Fahkwang" w:eastAsia="Fahkwang" w:hAnsi="Fahkwang" w:cs="Fahkwang"/>
          <w:color w:val="2E2E2E"/>
        </w:rPr>
        <w:t xml:space="preserve"> pode falhar ao suportar um alto volume de interações simultâneas (especialmente após o fechamento dos primeiros grandes contratos B2B). A mitigação passa pelo monitoramento rigoroso dos custos de API e pela alocação de um orçamento robusto para infraestrutura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cloud</w:t>
      </w:r>
      <w:r>
        <w:rPr>
          <w:rFonts w:ascii="Fahkwang" w:eastAsia="Fahkwang" w:hAnsi="Fahkwang" w:cs="Fahkwang"/>
          <w:color w:val="2E2E2E"/>
        </w:rPr>
        <w:t xml:space="preserve">, conforme detalhado no plano orçamentário. </w:t>
      </w:r>
    </w:p>
    <w:p w14:paraId="11C92D9A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  <w:sz w:val="28"/>
          <w:szCs w:val="28"/>
        </w:rPr>
        <w:t xml:space="preserve">Riscos de Mercado e Financeiros (Risco de Sustentabilidade) </w:t>
      </w:r>
    </w:p>
    <w:p w14:paraId="6DE72EF4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No lado do mercado, o risco mais significativo é a </w:t>
      </w:r>
      <w:r>
        <w:rPr>
          <w:rFonts w:ascii="Fahkwang Bold" w:eastAsia="Fahkwang Bold" w:hAnsi="Fahkwang Bold" w:cs="Fahkwang Bold"/>
          <w:b/>
          <w:bCs/>
          <w:color w:val="2E2E2E"/>
        </w:rPr>
        <w:t>Substituição por Concorrentes Genéricos</w:t>
      </w:r>
      <w:r>
        <w:rPr>
          <w:rFonts w:ascii="Fahkwang" w:eastAsia="Fahkwang" w:hAnsi="Fahkwang" w:cs="Fahkwang"/>
          <w:color w:val="2E2E2E"/>
        </w:rPr>
        <w:t xml:space="preserve">. Se o público-alvo perceber que um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chatbot</w:t>
      </w:r>
      <w:r>
        <w:rPr>
          <w:rFonts w:ascii="Fahkwang" w:eastAsia="Fahkwang" w:hAnsi="Fahkwang" w:cs="Fahkwang"/>
          <w:color w:val="2E2E2E"/>
        </w:rPr>
        <w:t xml:space="preserve"> genérico e gratuito (ex: ChatGPT) entrega valor semelhante, o modelo de assinatura B2C pode falhar. Este risco é mitigado pela </w:t>
      </w:r>
      <w:r>
        <w:rPr>
          <w:rFonts w:ascii="Fahkwang" w:eastAsia="Fahkwang" w:hAnsi="Fahkwang" w:cs="Fahkwang"/>
          <w:color w:val="2E2E2E"/>
        </w:rPr>
        <w:lastRenderedPageBreak/>
        <w:t xml:space="preserve">nossa ênfase no </w:t>
      </w:r>
      <w:r>
        <w:rPr>
          <w:rFonts w:ascii="Fahkwang Bold" w:eastAsia="Fahkwang Bold" w:hAnsi="Fahkwang Bold" w:cs="Fahkwang Bold"/>
          <w:b/>
          <w:bCs/>
          <w:color w:val="2E2E2E"/>
        </w:rPr>
        <w:t>rigor metodológico (Logoterapia)</w:t>
      </w:r>
      <w:r>
        <w:rPr>
          <w:rFonts w:ascii="Fahkwang" w:eastAsia="Fahkwang" w:hAnsi="Fahkwang" w:cs="Fahkwang"/>
          <w:color w:val="2E2E2E"/>
        </w:rPr>
        <w:t xml:space="preserve"> e pela segurança de dados garantida (LGPD). Financeiramente, o risco de </w:t>
      </w:r>
      <w:r>
        <w:rPr>
          <w:rFonts w:ascii="Fahkwang Bold" w:eastAsia="Fahkwang Bold" w:hAnsi="Fahkwang Bold" w:cs="Fahkwang Bold"/>
          <w:b/>
          <w:bCs/>
          <w:color w:val="2E2E2E"/>
        </w:rPr>
        <w:t>Alto CAC B2C</w:t>
      </w:r>
      <w:r>
        <w:rPr>
          <w:rFonts w:ascii="Fahkwang" w:eastAsia="Fahkwang" w:hAnsi="Fahkwang" w:cs="Fahkwang"/>
          <w:color w:val="2E2E2E"/>
        </w:rPr>
        <w:t xml:space="preserve"> é uma ameaça, especialmente se a concorrência por palavras-chave em anúncios for alta, o que impediria o Propositum de manter o custo de aquisição abaixo de R$ 20,00. A estratégia de </w:t>
      </w:r>
      <w:r>
        <w:rPr>
          <w:rFonts w:ascii="Fahkwang Bold" w:eastAsia="Fahkwang Bold" w:hAnsi="Fahkwang Bold" w:cs="Fahkwang Bold"/>
          <w:b/>
          <w:bCs/>
          <w:color w:val="2E2E2E"/>
        </w:rPr>
        <w:t>dupla abordagem (B2B/B2C)</w:t>
      </w:r>
      <w:r>
        <w:rPr>
          <w:rFonts w:ascii="Fahkwang" w:eastAsia="Fahkwang" w:hAnsi="Fahkwang" w:cs="Fahkwang"/>
          <w:color w:val="2E2E2E"/>
        </w:rPr>
        <w:t xml:space="preserve"> mitiga este risco, pois a escalabilidade da receita B2B, com maior margem, compensará as flutuações iniciais no mercado B2C. Por fim, o </w:t>
      </w:r>
      <w:r>
        <w:rPr>
          <w:rFonts w:ascii="Fahkwang Bold" w:eastAsia="Fahkwang Bold" w:hAnsi="Fahkwang Bold" w:cs="Fahkwang Bold"/>
          <w:b/>
          <w:bCs/>
          <w:color w:val="2E2E2E"/>
        </w:rPr>
        <w:t>Risco de Atraso na Conversão B2B</w:t>
      </w:r>
      <w:r>
        <w:rPr>
          <w:rFonts w:ascii="Fahkwang" w:eastAsia="Fahkwang" w:hAnsi="Fahkwang" w:cs="Fahkwang"/>
          <w:color w:val="2E2E2E"/>
        </w:rPr>
        <w:t xml:space="preserve"> pode impactar o </w:t>
      </w:r>
      <w:r>
        <w:rPr>
          <w:rFonts w:ascii="Fahkwang Italics" w:eastAsia="Fahkwang Italics" w:hAnsi="Fahkwang Italics" w:cs="Fahkwang Italics"/>
          <w:i/>
          <w:iCs/>
          <w:color w:val="2E2E2E"/>
        </w:rPr>
        <w:t>Break-Even Point</w:t>
      </w:r>
      <w:r>
        <w:rPr>
          <w:rFonts w:ascii="Fahkwang" w:eastAsia="Fahkwang" w:hAnsi="Fahkwang" w:cs="Fahkwang"/>
          <w:color w:val="2E2E2E"/>
        </w:rPr>
        <w:t xml:space="preserve">, sendo vital que as Provas de Valor (PoV) sejam concluídas e convertidas em contratos dentro do horizonte de 24 meses. </w:t>
      </w:r>
    </w:p>
    <w:p w14:paraId="590147D1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212CFC76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Valor Econômico </w:t>
      </w:r>
    </w:p>
    <w:p w14:paraId="55DE050C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41747075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O Propositum representa uma solução de alto valor econômico para instituições de ensino superior ao combinar inovação tecnológica, suporte à orientação vocacional e desenvolvimento pessoal dos estudantes. A plataforma permite que as universidades ofereçam um serviço escalável de acompanhamento individualizado, aumentando o engajamento, a retenção e a satisfação dos alunos. </w:t>
      </w:r>
    </w:p>
    <w:p w14:paraId="2B0AFCD7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Além do impacto direto sobre métricas institucionais, o Propositum gera valor estratégico ao fornecer dados agregados sobre interesses e comportamento estudantil, que podem informar políticas acadêmicas e ações de melhoria contínua. Essa combinação de benefício operacional e estratégico justifica o investimento inicial e sustenta o modelo de receita projetado. </w:t>
      </w:r>
    </w:p>
    <w:p w14:paraId="5F9290C1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2E2E2E"/>
        </w:rPr>
        <w:t xml:space="preserve"> </w:t>
      </w:r>
    </w:p>
    <w:p w14:paraId="14C8355A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Modelo de Receita (Custos) </w:t>
      </w:r>
    </w:p>
    <w:p w14:paraId="5FB36D20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016E3DA5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lastRenderedPageBreak/>
        <w:t>Justificativa do Modelo:</w:t>
      </w:r>
      <w:r>
        <w:rPr>
          <w:rFonts w:ascii="Fahkwang" w:eastAsia="Fahkwang" w:hAnsi="Fahkwang" w:cs="Fahkwang"/>
          <w:color w:val="2E2E2E"/>
        </w:rPr>
        <w:t> </w:t>
      </w:r>
      <w:r>
        <w:rPr>
          <w:rFonts w:ascii="Fahkwang" w:eastAsia="Fahkwang" w:hAnsi="Fahkwang" w:cs="Fahkwang"/>
          <w:color w:val="2E2E2E"/>
        </w:rPr>
        <w:br/>
        <w:t xml:space="preserve"> O Propositum adota um modelo de receita baseado em licenciamento institucional por aluno, pois universidades e instituições de ensino superior têm maior capacidade de investimento do que clientes individuais. Isso garante </w:t>
      </w:r>
      <w:r>
        <w:rPr>
          <w:rFonts w:ascii="Fahkwang Bold" w:eastAsia="Fahkwang Bold" w:hAnsi="Fahkwang Bold" w:cs="Fahkwang Bold"/>
          <w:b/>
          <w:bCs/>
          <w:color w:val="2E2E2E"/>
        </w:rPr>
        <w:t>previsibilidade financeira</w:t>
      </w:r>
      <w:r>
        <w:rPr>
          <w:rFonts w:ascii="Fahkwang" w:eastAsia="Fahkwang" w:hAnsi="Fahkwang" w:cs="Fahkwang"/>
          <w:color w:val="2E2E2E"/>
        </w:rPr>
        <w:t xml:space="preserve">, escalabilidade e facilidade de negociação em pacotes anuais. A faixa de preço de R$ 15,00 a R$ 25,00/mês por aluno foi definida considerando: </w:t>
      </w:r>
    </w:p>
    <w:p w14:paraId="7D3F8E52" w14:textId="77777777" w:rsidR="00944661" w:rsidRDefault="00000000">
      <w:pPr>
        <w:numPr>
          <w:ilvl w:val="0"/>
          <w:numId w:val="7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Valor percebido da solução em termos de </w:t>
      </w:r>
      <w:r>
        <w:rPr>
          <w:rFonts w:ascii="Fahkwang Bold" w:eastAsia="Fahkwang Bold" w:hAnsi="Fahkwang Bold" w:cs="Fahkwang Bold"/>
          <w:b/>
          <w:bCs/>
          <w:color w:val="2E2E2E"/>
        </w:rPr>
        <w:t>desenvolvimento pessoal, orientação vocacional e introdução à inteligência artificial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0A43E684" w14:textId="77777777" w:rsidR="00944661" w:rsidRDefault="00000000">
      <w:pPr>
        <w:numPr>
          <w:ilvl w:val="0"/>
          <w:numId w:val="7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Competitividade frente a outras soluções de edtech ou serviços de coaching individual. </w:t>
      </w:r>
    </w:p>
    <w:p w14:paraId="69EF053B" w14:textId="77777777" w:rsidR="00944661" w:rsidRDefault="00000000">
      <w:pPr>
        <w:numPr>
          <w:ilvl w:val="0"/>
          <w:numId w:val="7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Capacidade de cobrir custos operacionais e permitir margem operacional mesmo em cenários iniciais conservadores. </w:t>
      </w:r>
    </w:p>
    <w:p w14:paraId="11A899E1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Custos Recorrentes: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0C24005E" w14:textId="77777777" w:rsidR="00944661" w:rsidRDefault="00000000">
      <w:pPr>
        <w:numPr>
          <w:ilvl w:val="0"/>
          <w:numId w:val="8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Infraestrutura em nuvem (hospedagem, armazenamento, backups, segurança). </w:t>
      </w:r>
    </w:p>
    <w:p w14:paraId="5C2ECF64" w14:textId="77777777" w:rsidR="00944661" w:rsidRDefault="00000000">
      <w:pPr>
        <w:numPr>
          <w:ilvl w:val="0"/>
          <w:numId w:val="8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APIs de processamento de linguagem natural (Groq + LLMs). </w:t>
      </w:r>
    </w:p>
    <w:p w14:paraId="0AD726D8" w14:textId="77777777" w:rsidR="00944661" w:rsidRDefault="00000000">
      <w:pPr>
        <w:numPr>
          <w:ilvl w:val="0"/>
          <w:numId w:val="8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Manutenção técnica, monitoramento do sistema e suporte básico. </w:t>
      </w:r>
    </w:p>
    <w:p w14:paraId="7AF9D514" w14:textId="77777777" w:rsidR="00944661" w:rsidRDefault="00000000">
      <w:pPr>
        <w:numPr>
          <w:ilvl w:val="0"/>
          <w:numId w:val="8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Estimativa para até 300 usuários ativos simultâneos: </w:t>
      </w:r>
      <w:r>
        <w:rPr>
          <w:rFonts w:ascii="Fahkwang Bold" w:eastAsia="Fahkwang Bold" w:hAnsi="Fahkwang Bold" w:cs="Fahkwang Bold"/>
          <w:b/>
          <w:bCs/>
          <w:color w:val="2E2E2E"/>
        </w:rPr>
        <w:t>R$ 1.200,00 a R$ 2.000,00/mês</w:t>
      </w:r>
      <w:r>
        <w:rPr>
          <w:rFonts w:ascii="Fahkwang" w:eastAsia="Fahkwang" w:hAnsi="Fahkwang" w:cs="Fahkwang"/>
          <w:color w:val="2E2E2E"/>
        </w:rPr>
        <w:t>. </w:t>
      </w:r>
      <w:r>
        <w:rPr>
          <w:rFonts w:ascii="Fahkwang" w:eastAsia="Fahkwang" w:hAnsi="Fahkwang" w:cs="Fahkwang"/>
          <w:color w:val="2E2E2E"/>
        </w:rPr>
        <w:br/>
        <w:t xml:space="preserve"> Esses custos crescem lentamente em relação à receita, favorecendo escalabilidade sem exigir reinvestimentos pesados. </w:t>
      </w:r>
    </w:p>
    <w:p w14:paraId="5D704B56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Ponto de Equilíbrio e ROI: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380711D0" w14:textId="77777777" w:rsidR="00944661" w:rsidRDefault="00000000">
      <w:pPr>
        <w:numPr>
          <w:ilvl w:val="0"/>
          <w:numId w:val="9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Alcançado com </w:t>
      </w:r>
      <w:r>
        <w:rPr>
          <w:rFonts w:ascii="Fahkwang Bold" w:eastAsia="Fahkwang Bold" w:hAnsi="Fahkwang Bold" w:cs="Fahkwang Bold"/>
          <w:b/>
          <w:bCs/>
          <w:color w:val="2E2E2E"/>
        </w:rPr>
        <w:t>um único contrato de médio porte</w:t>
      </w:r>
      <w:r>
        <w:rPr>
          <w:rFonts w:ascii="Fahkwang" w:eastAsia="Fahkwang" w:hAnsi="Fahkwang" w:cs="Fahkwang"/>
          <w:color w:val="2E2E2E"/>
        </w:rPr>
        <w:t xml:space="preserve">, cobrindo integralmente os custos mensais. </w:t>
      </w:r>
    </w:p>
    <w:p w14:paraId="02431DCD" w14:textId="77777777" w:rsidR="00944661" w:rsidRDefault="00000000">
      <w:pPr>
        <w:numPr>
          <w:ilvl w:val="0"/>
          <w:numId w:val="9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O crescimento da base de usuários gera aumento direto da margem operacional. </w:t>
      </w:r>
    </w:p>
    <w:p w14:paraId="63DAEEA7" w14:textId="77777777" w:rsidR="00944661" w:rsidRDefault="00000000">
      <w:pPr>
        <w:numPr>
          <w:ilvl w:val="0"/>
          <w:numId w:val="9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ROI positivo já no </w:t>
      </w:r>
      <w:r>
        <w:rPr>
          <w:rFonts w:ascii="Fahkwang Bold" w:eastAsia="Fahkwang Bold" w:hAnsi="Fahkwang Bold" w:cs="Fahkwang Bold"/>
          <w:b/>
          <w:bCs/>
          <w:color w:val="2E2E2E"/>
        </w:rPr>
        <w:t>primeiro ano</w:t>
      </w:r>
      <w:r>
        <w:rPr>
          <w:rFonts w:ascii="Fahkwang" w:eastAsia="Fahkwang" w:hAnsi="Fahkwang" w:cs="Fahkwang"/>
          <w:color w:val="2E2E2E"/>
        </w:rPr>
        <w:t xml:space="preserve">, especialmente após a estabilização da infraestrutura tecnológica, pois a reutilização do sistema reduz custos adicionais por novo cliente. </w:t>
      </w:r>
    </w:p>
    <w:p w14:paraId="61026AD0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Investimento Inicial: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34C89EDB" w14:textId="77777777" w:rsidR="00944661" w:rsidRDefault="00000000">
      <w:pPr>
        <w:numPr>
          <w:ilvl w:val="0"/>
          <w:numId w:val="10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Estimativa: </w:t>
      </w:r>
      <w:r>
        <w:rPr>
          <w:rFonts w:ascii="Fahkwang Bold" w:eastAsia="Fahkwang Bold" w:hAnsi="Fahkwang Bold" w:cs="Fahkwang Bold"/>
          <w:b/>
          <w:bCs/>
          <w:color w:val="2E2E2E"/>
        </w:rPr>
        <w:t>R$ 20.000,00 a R$ 30.000,00</w:t>
      </w:r>
      <w:r>
        <w:rPr>
          <w:rFonts w:ascii="Fahkwang" w:eastAsia="Fahkwang" w:hAnsi="Fahkwang" w:cs="Fahkwang"/>
          <w:color w:val="2E2E2E"/>
        </w:rPr>
        <w:t xml:space="preserve">, incluindo: </w:t>
      </w:r>
    </w:p>
    <w:p w14:paraId="0F83039D" w14:textId="77777777" w:rsidR="00944661" w:rsidRDefault="00000000">
      <w:pPr>
        <w:numPr>
          <w:ilvl w:val="1"/>
          <w:numId w:val="10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Desenvolvimento do MVP e testes em ambiente universitário. </w:t>
      </w:r>
    </w:p>
    <w:p w14:paraId="302E5F86" w14:textId="77777777" w:rsidR="00944661" w:rsidRDefault="00000000">
      <w:pPr>
        <w:numPr>
          <w:ilvl w:val="1"/>
          <w:numId w:val="10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Ajustes de arquitetura para </w:t>
      </w:r>
      <w:r>
        <w:rPr>
          <w:rFonts w:ascii="Fahkwang Bold" w:eastAsia="Fahkwang Bold" w:hAnsi="Fahkwang Bold" w:cs="Fahkwang Bold"/>
          <w:b/>
          <w:bCs/>
          <w:color w:val="2E2E2E"/>
        </w:rPr>
        <w:t>segurança, escalabilidade e estabilidade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7E136813" w14:textId="77777777" w:rsidR="00944661" w:rsidRDefault="00000000">
      <w:pPr>
        <w:numPr>
          <w:ilvl w:val="1"/>
          <w:numId w:val="10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Implantação em nuvem com </w:t>
      </w:r>
      <w:r>
        <w:rPr>
          <w:rFonts w:ascii="Fahkwang Bold" w:eastAsia="Fahkwang Bold" w:hAnsi="Fahkwang Bold" w:cs="Fahkwang Bold"/>
          <w:b/>
          <w:bCs/>
          <w:color w:val="2E2E2E"/>
        </w:rPr>
        <w:t>disponibilidade pública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498C9D48" w14:textId="77777777" w:rsidR="00944661" w:rsidRDefault="00000000">
      <w:pPr>
        <w:numPr>
          <w:ilvl w:val="0"/>
          <w:numId w:val="10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Escolha justificada por compatibilidade com projetos de inovação aplicada e perfil de risco controlado frente ao potencial retorno econômico e institucional. </w:t>
      </w:r>
    </w:p>
    <w:p w14:paraId="327AC114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Modelo de Receita (Lucros) </w:t>
      </w:r>
    </w:p>
    <w:p w14:paraId="2A4DE1A7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08D67ECA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Justificativa do Modelo:</w:t>
      </w:r>
      <w:r>
        <w:rPr>
          <w:rFonts w:ascii="Fahkwang" w:eastAsia="Fahkwang" w:hAnsi="Fahkwang" w:cs="Fahkwang"/>
          <w:color w:val="2E2E2E"/>
        </w:rPr>
        <w:t> </w:t>
      </w:r>
      <w:r>
        <w:rPr>
          <w:rFonts w:ascii="Fahkwang" w:eastAsia="Fahkwang" w:hAnsi="Fahkwang" w:cs="Fahkwang"/>
          <w:color w:val="2E2E2E"/>
        </w:rPr>
        <w:br/>
        <w:t xml:space="preserve"> A precificação por usuário permite um </w:t>
      </w:r>
      <w:r>
        <w:rPr>
          <w:rFonts w:ascii="Fahkwang Bold" w:eastAsia="Fahkwang Bold" w:hAnsi="Fahkwang Bold" w:cs="Fahkwang Bold"/>
          <w:b/>
          <w:bCs/>
          <w:color w:val="2E2E2E"/>
        </w:rPr>
        <w:t>crescimento linear da receita</w:t>
      </w:r>
      <w:r>
        <w:rPr>
          <w:rFonts w:ascii="Fahkwang" w:eastAsia="Fahkwang" w:hAnsi="Fahkwang" w:cs="Fahkwang"/>
          <w:color w:val="2E2E2E"/>
        </w:rPr>
        <w:t xml:space="preserve"> proporcional à adoção, garantindo que cada nova instituição ou estudante adicionado contribua diretamente para o lucro líquido. O modelo também abre possibilidade de implementação de </w:t>
      </w:r>
      <w:r>
        <w:rPr>
          <w:rFonts w:ascii="Fahkwang Bold" w:eastAsia="Fahkwang Bold" w:hAnsi="Fahkwang Bold" w:cs="Fahkwang Bold"/>
          <w:b/>
          <w:bCs/>
          <w:color w:val="2E2E2E"/>
        </w:rPr>
        <w:t>módulos premium</w:t>
      </w:r>
      <w:r>
        <w:rPr>
          <w:rFonts w:ascii="Fahkwang" w:eastAsia="Fahkwang" w:hAnsi="Fahkwang" w:cs="Fahkwang"/>
          <w:color w:val="2E2E2E"/>
        </w:rPr>
        <w:t xml:space="preserve"> ou serviços adicionais, aumentando o ticket médio e diversificando receita. </w:t>
      </w:r>
    </w:p>
    <w:p w14:paraId="27CACAEC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Projeção de Receita e Lucro: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29D79AC6" w14:textId="77777777" w:rsidR="00944661" w:rsidRDefault="00000000">
      <w:pPr>
        <w:numPr>
          <w:ilvl w:val="0"/>
          <w:numId w:val="11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Cenário inicial (universidade com 300–500 alunos): </w:t>
      </w:r>
    </w:p>
    <w:p w14:paraId="4F596C01" w14:textId="77777777" w:rsidR="00944661" w:rsidRDefault="00000000">
      <w:pPr>
        <w:numPr>
          <w:ilvl w:val="1"/>
          <w:numId w:val="11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Receita mensal: </w:t>
      </w:r>
      <w:r>
        <w:rPr>
          <w:rFonts w:ascii="Fahkwang Bold" w:eastAsia="Fahkwang Bold" w:hAnsi="Fahkwang Bold" w:cs="Fahkwang Bold"/>
          <w:b/>
          <w:bCs/>
          <w:color w:val="2E2E2E"/>
        </w:rPr>
        <w:t>R$ 4.500,00 a R$ 12.500,00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3491468B" w14:textId="77777777" w:rsidR="00944661" w:rsidRDefault="00000000">
      <w:pPr>
        <w:numPr>
          <w:ilvl w:val="1"/>
          <w:numId w:val="11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Receita anual: </w:t>
      </w:r>
      <w:r>
        <w:rPr>
          <w:rFonts w:ascii="Fahkwang Bold" w:eastAsia="Fahkwang Bold" w:hAnsi="Fahkwang Bold" w:cs="Fahkwang Bold"/>
          <w:b/>
          <w:bCs/>
          <w:color w:val="2E2E2E"/>
        </w:rPr>
        <w:t>R$ 54.000,00 a R$ 150.000,00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444C16B7" w14:textId="77777777" w:rsidR="00944661" w:rsidRDefault="00000000">
      <w:pPr>
        <w:numPr>
          <w:ilvl w:val="0"/>
          <w:numId w:val="11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Custos mensais: </w:t>
      </w:r>
      <w:r>
        <w:rPr>
          <w:rFonts w:ascii="Fahkwang Bold" w:eastAsia="Fahkwang Bold" w:hAnsi="Fahkwang Bold" w:cs="Fahkwang Bold"/>
          <w:b/>
          <w:bCs/>
          <w:color w:val="2E2E2E"/>
        </w:rPr>
        <w:t>R$ 1.200,00 a R$ 2.000,00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36104A9D" w14:textId="77777777" w:rsidR="00944661" w:rsidRDefault="00000000">
      <w:pPr>
        <w:numPr>
          <w:ilvl w:val="0"/>
          <w:numId w:val="11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Lucro operacional estimado: </w:t>
      </w:r>
      <w:r>
        <w:rPr>
          <w:rFonts w:ascii="Fahkwang Bold" w:eastAsia="Fahkwang Bold" w:hAnsi="Fahkwang Bold" w:cs="Fahkwang Bold"/>
          <w:b/>
          <w:bCs/>
          <w:color w:val="2E2E2E"/>
        </w:rPr>
        <w:t>R$ 3.300,00 a R$ 10.500,00/mês</w:t>
      </w:r>
      <w:r>
        <w:rPr>
          <w:rFonts w:ascii="Fahkwang" w:eastAsia="Fahkwang" w:hAnsi="Fahkwang" w:cs="Fahkwang"/>
          <w:color w:val="2E2E2E"/>
        </w:rPr>
        <w:t xml:space="preserve">, dependendo do porte da instituição. </w:t>
      </w:r>
    </w:p>
    <w:p w14:paraId="2A0B4499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Escalabilidade e ROI: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0D537A13" w14:textId="77777777" w:rsidR="00944661" w:rsidRDefault="00000000">
      <w:pPr>
        <w:numPr>
          <w:ilvl w:val="0"/>
          <w:numId w:val="12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lastRenderedPageBreak/>
        <w:t xml:space="preserve">A cada nova instituição, o lucro cresce diretamente, sem necessidade de aumento proporcional de custo. </w:t>
      </w:r>
    </w:p>
    <w:p w14:paraId="567EF23C" w14:textId="77777777" w:rsidR="00944661" w:rsidRDefault="00000000">
      <w:pPr>
        <w:numPr>
          <w:ilvl w:val="0"/>
          <w:numId w:val="12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Capacidade de atender simultaneamente </w:t>
      </w:r>
      <w:r>
        <w:rPr>
          <w:rFonts w:ascii="Fahkwang Bold" w:eastAsia="Fahkwang Bold" w:hAnsi="Fahkwang Bold" w:cs="Fahkwang Bold"/>
          <w:b/>
          <w:bCs/>
          <w:color w:val="2E2E2E"/>
        </w:rPr>
        <w:t>várias instituições</w:t>
      </w:r>
      <w:r>
        <w:rPr>
          <w:rFonts w:ascii="Fahkwang" w:eastAsia="Fahkwang" w:hAnsi="Fahkwang" w:cs="Fahkwang"/>
          <w:color w:val="2E2E2E"/>
        </w:rPr>
        <w:t xml:space="preserve"> com 300–500 alunos cada. </w:t>
      </w:r>
    </w:p>
    <w:p w14:paraId="5F1FBEA3" w14:textId="77777777" w:rsidR="00944661" w:rsidRDefault="00000000">
      <w:pPr>
        <w:numPr>
          <w:ilvl w:val="0"/>
          <w:numId w:val="12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Potencial de </w:t>
      </w:r>
      <w:r>
        <w:rPr>
          <w:rFonts w:ascii="Fahkwang Bold" w:eastAsia="Fahkwang Bold" w:hAnsi="Fahkwang Bold" w:cs="Fahkwang Bold"/>
          <w:b/>
          <w:bCs/>
          <w:color w:val="2E2E2E"/>
        </w:rPr>
        <w:t>ROI elevado já no primeiro ano</w:t>
      </w:r>
      <w:r>
        <w:rPr>
          <w:rFonts w:ascii="Fahkwang" w:eastAsia="Fahkwang" w:hAnsi="Fahkwang" w:cs="Fahkwang"/>
          <w:color w:val="2E2E2E"/>
        </w:rPr>
        <w:t xml:space="preserve">, com margem operacional crescente à medida que a base de usuários se expande. </w:t>
      </w:r>
    </w:p>
    <w:p w14:paraId="5FE1610F" w14:textId="77777777" w:rsidR="00944661" w:rsidRDefault="00000000">
      <w:pPr>
        <w:spacing w:before="120" w:after="120" w:line="336" w:lineRule="auto"/>
      </w:pPr>
      <w:r>
        <w:rPr>
          <w:rFonts w:ascii="Fahkwang Bold" w:eastAsia="Fahkwang Bold" w:hAnsi="Fahkwang Bold" w:cs="Fahkwang Bold"/>
          <w:b/>
          <w:bCs/>
          <w:color w:val="2E2E2E"/>
        </w:rPr>
        <w:t>Indicadores de Potencial Futuro:</w:t>
      </w:r>
      <w:r>
        <w:rPr>
          <w:rFonts w:ascii="Fahkwang" w:eastAsia="Fahkwang" w:hAnsi="Fahkwang" w:cs="Fahkwang"/>
          <w:color w:val="2E2E2E"/>
        </w:rPr>
        <w:t xml:space="preserve"> </w:t>
      </w:r>
    </w:p>
    <w:p w14:paraId="6455613A" w14:textId="77777777" w:rsidR="00944661" w:rsidRDefault="00000000">
      <w:pPr>
        <w:numPr>
          <w:ilvl w:val="0"/>
          <w:numId w:val="13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Receita recorrente previsível e escalável. </w:t>
      </w:r>
    </w:p>
    <w:p w14:paraId="3A7FD3AC" w14:textId="77777777" w:rsidR="00944661" w:rsidRDefault="00000000">
      <w:pPr>
        <w:numPr>
          <w:ilvl w:val="0"/>
          <w:numId w:val="13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Possibilidade de aumentar ticket médio com </w:t>
      </w:r>
      <w:r>
        <w:rPr>
          <w:rFonts w:ascii="Fahkwang Bold" w:eastAsia="Fahkwang Bold" w:hAnsi="Fahkwang Bold" w:cs="Fahkwang Bold"/>
          <w:b/>
          <w:bCs/>
          <w:color w:val="2E2E2E"/>
        </w:rPr>
        <w:t>módulos premium, relatórios avançados ou consultoria personalizada</w:t>
      </w:r>
      <w:r>
        <w:rPr>
          <w:rFonts w:ascii="Fahkwang" w:eastAsia="Fahkwang" w:hAnsi="Fahkwang" w:cs="Fahkwang"/>
          <w:color w:val="2E2E2E"/>
        </w:rPr>
        <w:t xml:space="preserve">. </w:t>
      </w:r>
    </w:p>
    <w:p w14:paraId="54E85303" w14:textId="77777777" w:rsidR="00944661" w:rsidRDefault="00000000">
      <w:pPr>
        <w:numPr>
          <w:ilvl w:val="0"/>
          <w:numId w:val="13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Margem operacional crescente com a expansão da base de clientes. </w:t>
      </w:r>
    </w:p>
    <w:p w14:paraId="6FC578A6" w14:textId="77777777" w:rsidR="00944661" w:rsidRDefault="00000000">
      <w:pPr>
        <w:numPr>
          <w:ilvl w:val="0"/>
          <w:numId w:val="13"/>
        </w:numPr>
        <w:spacing w:after="0" w:line="336" w:lineRule="auto"/>
      </w:pPr>
      <w:r>
        <w:rPr>
          <w:rFonts w:ascii="Fahkwang" w:eastAsia="Fahkwang" w:hAnsi="Fahkwang" w:cs="Fahkwang"/>
          <w:color w:val="2E2E2E"/>
        </w:rPr>
        <w:t xml:space="preserve">Flexibilidade para ajustes de preço e expansão internacional em médio prazo. </w:t>
      </w:r>
    </w:p>
    <w:p w14:paraId="05B25AFD" w14:textId="77777777" w:rsidR="00944661" w:rsidRDefault="00944661">
      <w:pPr>
        <w:pBdr>
          <w:bottom w:val="single" w:sz="6" w:space="0" w:color="2E2E2E"/>
        </w:pBdr>
        <w:spacing w:before="120" w:after="120" w:line="0" w:lineRule="auto"/>
      </w:pPr>
    </w:p>
    <w:p w14:paraId="265957EE" w14:textId="77777777" w:rsidR="00944661" w:rsidRDefault="00000000">
      <w:pPr>
        <w:spacing w:before="120" w:after="120" w:line="300" w:lineRule="auto"/>
      </w:pPr>
      <w:r>
        <w:rPr>
          <w:rFonts w:ascii="Caudex" w:eastAsia="Caudex" w:hAnsi="Caudex" w:cs="Caudex"/>
          <w:color w:val="2E2E2E"/>
          <w:sz w:val="56"/>
          <w:szCs w:val="56"/>
        </w:rPr>
        <w:t xml:space="preserve">Planos futuros </w:t>
      </w:r>
    </w:p>
    <w:p w14:paraId="4C8F0BE5" w14:textId="77777777" w:rsidR="00944661" w:rsidRDefault="00000000">
      <w:pPr>
        <w:spacing w:before="120" w:after="120" w:line="336" w:lineRule="auto"/>
        <w:jc w:val="both"/>
      </w:pPr>
      <w:r>
        <w:rPr>
          <w:rFonts w:ascii="Fahkwang" w:eastAsia="Fahkwang" w:hAnsi="Fahkwang" w:cs="Fahkwang"/>
          <w:color w:val="2E2E2E"/>
        </w:rPr>
        <w:t xml:space="preserve">A inserção inicial do Propositum no mercado será feita por meio de pilotos em universidades de médio ou pequeno porte, selecionadas por sua abertura para inovação educacional e interesse em apoio vocacional para estudantes. Essa fase visa validar a aceitação institucional, testar fluxos de integração com sistemas acadêmicos existentes e obter feedback direto dos resultados de mercado. Espera-se iniciar com uma base de 40 a 100 usuários ativos, monitorando engajamento, eficácia das interações e estabilidade técnica do sistema. </w:t>
      </w:r>
    </w:p>
    <w:p w14:paraId="26C82024" w14:textId="77777777" w:rsidR="00944661" w:rsidRDefault="00000000">
      <w:pPr>
        <w:spacing w:before="120" w:after="120" w:line="336" w:lineRule="auto"/>
        <w:jc w:val="both"/>
      </w:pPr>
      <w:r>
        <w:rPr>
          <w:rFonts w:ascii="Fahkwang" w:eastAsia="Fahkwang" w:hAnsi="Fahkwang" w:cs="Fahkwang"/>
          <w:color w:val="2E2E2E"/>
        </w:rPr>
        <w:t xml:space="preserve">Com os dados coletados nessa etapa piloto, será possível ajustar preços, recursos e estratégias de onboarding, garantindo escalabilidade sustentável e minimizando riscos. Paralelamente, serão preparados materiais de apresentação para outras instituições, </w:t>
      </w:r>
      <w:r>
        <w:rPr>
          <w:rFonts w:ascii="Fahkwang" w:eastAsia="Fahkwang" w:hAnsi="Fahkwang" w:cs="Fahkwang"/>
          <w:color w:val="2E2E2E"/>
        </w:rPr>
        <w:lastRenderedPageBreak/>
        <w:t xml:space="preserve">destacando os resultados do piloto e o valor agregado do Propositum, abrindo caminho para expansão gradual no ensino superior e a futura introdução de módulos premium e relatórios personalizados. O foco continua sendo a orientação pessoal baseada em logoterapia, garantindo relevância pedagógica e impacto mensurável. </w:t>
      </w:r>
    </w:p>
    <w:p w14:paraId="6685D7A6" w14:textId="77777777" w:rsidR="00944661" w:rsidRDefault="00000000">
      <w:pPr>
        <w:spacing w:before="120" w:after="120" w:line="336" w:lineRule="auto"/>
      </w:pPr>
      <w:r>
        <w:rPr>
          <w:rFonts w:ascii="Fahkwang Italics" w:eastAsia="Fahkwang Italics" w:hAnsi="Fahkwang Italics" w:cs="Fahkwang Italics"/>
          <w:i/>
          <w:iCs/>
          <w:color w:val="2E2E2E"/>
        </w:rPr>
        <w:t xml:space="preserve"> </w:t>
      </w:r>
    </w:p>
    <w:p w14:paraId="37AEDB97" w14:textId="77777777" w:rsidR="00944661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D249ED" wp14:editId="1C6ACC3C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934968"/>
            <wp:effectExtent l="0" t="0" r="0" b="0"/>
            <wp:wrapTopAndBottom/>
            <wp:docPr id="2" name="Drawing 2" descr="18853bced-3b4f-4f6e-8a10-ee93e5283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8853bced-3b4f-4f6e-8a10-ee93e5283b1a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3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AF2FE" w14:textId="77777777" w:rsidR="00944661" w:rsidRDefault="00000000">
      <w:pPr>
        <w:spacing w:before="120" w:after="120" w:line="336" w:lineRule="auto"/>
      </w:pPr>
      <w:r>
        <w:rPr>
          <w:rFonts w:ascii="Fahkwang" w:eastAsia="Fahkwang" w:hAnsi="Fahkwang" w:cs="Fahkwang"/>
          <w:color w:val="000000"/>
        </w:rPr>
        <w:t xml:space="preserve"> </w:t>
      </w:r>
    </w:p>
    <w:sectPr w:rsidR="00944661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4B0DBB9-C663-4AAB-9EDA-D9091377670B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nva Sans">
    <w:charset w:val="00"/>
    <w:family w:val="auto"/>
    <w:pitch w:val="default"/>
    <w:embedRegular r:id="rId2" w:fontKey="{A5FD39EC-737E-43B8-BFAE-0D05C393F864}"/>
  </w:font>
  <w:font w:name="Fahkwang">
    <w:charset w:val="DE"/>
    <w:family w:val="auto"/>
    <w:pitch w:val="variable"/>
    <w:sig w:usb0="21000007" w:usb1="00000001" w:usb2="00000000" w:usb3="00000000" w:csb0="00010193" w:csb1="00000000"/>
    <w:embedRegular r:id="rId3" w:fontKey="{B919A18A-CC21-457F-B2FE-633DA210398C}"/>
  </w:font>
  <w:font w:name="Caudex">
    <w:altName w:val="Calibri"/>
    <w:charset w:val="00"/>
    <w:family w:val="auto"/>
    <w:pitch w:val="default"/>
  </w:font>
  <w:font w:name="Fahkwang Bold">
    <w:charset w:val="00"/>
    <w:family w:val="auto"/>
    <w:pitch w:val="default"/>
    <w:embedBold r:id="rId4" w:fontKey="{572479AD-41B6-4097-945B-2CE1E5C3943F}"/>
  </w:font>
  <w:font w:name="Fahkwang Italics">
    <w:charset w:val="00"/>
    <w:family w:val="auto"/>
    <w:pitch w:val="default"/>
    <w:embedItalic r:id="rId5" w:fontKey="{D9A5443D-6F89-4E3B-8ADA-4254D4DFBAB2}"/>
  </w:font>
  <w:font w:name="Fahkwang Bold Italics">
    <w:charset w:val="00"/>
    <w:family w:val="auto"/>
    <w:pitch w:val="default"/>
    <w:embedBoldItalic r:id="rId6" w:fontKey="{164A98E4-3829-4216-9530-22BA417F94DF}"/>
  </w:font>
  <w:font w:name="Caudex Bold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EBC0027-43F4-4390-B8D7-DF2EF6AE9F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F6F"/>
    <w:multiLevelType w:val="hybridMultilevel"/>
    <w:tmpl w:val="6FCC5A34"/>
    <w:lvl w:ilvl="0" w:tplc="FBE07E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07227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E8B9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3C4F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BCAA8D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2F81ED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961C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806443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FEDAF2">
      <w:numFmt w:val="decimal"/>
      <w:lvlText w:val=""/>
      <w:lvlJc w:val="left"/>
    </w:lvl>
  </w:abstractNum>
  <w:abstractNum w:abstractNumId="1" w15:restartNumberingAfterBreak="0">
    <w:nsid w:val="134D1E39"/>
    <w:multiLevelType w:val="hybridMultilevel"/>
    <w:tmpl w:val="34FC36D8"/>
    <w:lvl w:ilvl="0" w:tplc="77C409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A3CC8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930A9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BEEED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06822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15480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18E0A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F4227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672BB1E">
      <w:numFmt w:val="decimal"/>
      <w:lvlText w:val=""/>
      <w:lvlJc w:val="left"/>
    </w:lvl>
  </w:abstractNum>
  <w:abstractNum w:abstractNumId="2" w15:restartNumberingAfterBreak="0">
    <w:nsid w:val="1E141C89"/>
    <w:multiLevelType w:val="hybridMultilevel"/>
    <w:tmpl w:val="CB5E8772"/>
    <w:lvl w:ilvl="0" w:tplc="BBA67D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302CFD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D4E664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7A24E8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A0A4F2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81E5D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F625B2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D651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2410F2">
      <w:numFmt w:val="decimal"/>
      <w:lvlText w:val=""/>
      <w:lvlJc w:val="left"/>
    </w:lvl>
  </w:abstractNum>
  <w:abstractNum w:abstractNumId="3" w15:restartNumberingAfterBreak="0">
    <w:nsid w:val="23FE0529"/>
    <w:multiLevelType w:val="hybridMultilevel"/>
    <w:tmpl w:val="66928FE4"/>
    <w:lvl w:ilvl="0" w:tplc="BC626C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EDE33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C4683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FEC28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9FC39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CEAD21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1784F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C70F3F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EAC13F4">
      <w:numFmt w:val="decimal"/>
      <w:lvlText w:val=""/>
      <w:lvlJc w:val="left"/>
    </w:lvl>
  </w:abstractNum>
  <w:abstractNum w:abstractNumId="4" w15:restartNumberingAfterBreak="0">
    <w:nsid w:val="249767FE"/>
    <w:multiLevelType w:val="hybridMultilevel"/>
    <w:tmpl w:val="904E70A8"/>
    <w:lvl w:ilvl="0" w:tplc="3A064124">
      <w:start w:val="1"/>
      <w:numFmt w:val="decimal"/>
      <w:lvlText w:val="%1."/>
      <w:lvlJc w:val="left"/>
      <w:pPr>
        <w:ind w:left="400" w:hanging="360"/>
      </w:pPr>
    </w:lvl>
    <w:lvl w:ilvl="1" w:tplc="7FD21092">
      <w:start w:val="1"/>
      <w:numFmt w:val="lowerLetter"/>
      <w:lvlText w:val="%2."/>
      <w:lvlJc w:val="left"/>
      <w:pPr>
        <w:ind w:left="800" w:hanging="360"/>
      </w:pPr>
    </w:lvl>
    <w:lvl w:ilvl="2" w:tplc="FF445BF6">
      <w:start w:val="1"/>
      <w:numFmt w:val="lowerRoman"/>
      <w:lvlText w:val="%3."/>
      <w:lvlJc w:val="right"/>
      <w:pPr>
        <w:ind w:left="1200" w:hanging="180"/>
      </w:pPr>
    </w:lvl>
    <w:lvl w:ilvl="3" w:tplc="7A021DDA">
      <w:start w:val="1"/>
      <w:numFmt w:val="decimal"/>
      <w:lvlText w:val="%4."/>
      <w:lvlJc w:val="left"/>
      <w:pPr>
        <w:ind w:left="1600" w:hanging="360"/>
      </w:pPr>
    </w:lvl>
    <w:lvl w:ilvl="4" w:tplc="79122C72">
      <w:start w:val="1"/>
      <w:numFmt w:val="lowerLetter"/>
      <w:lvlText w:val="%5."/>
      <w:lvlJc w:val="left"/>
      <w:pPr>
        <w:ind w:left="2000" w:hanging="360"/>
      </w:pPr>
    </w:lvl>
    <w:lvl w:ilvl="5" w:tplc="7FBE00CA">
      <w:start w:val="1"/>
      <w:numFmt w:val="lowerRoman"/>
      <w:lvlText w:val="%6."/>
      <w:lvlJc w:val="right"/>
      <w:pPr>
        <w:ind w:left="2400" w:hanging="180"/>
      </w:pPr>
    </w:lvl>
    <w:lvl w:ilvl="6" w:tplc="8138D67A">
      <w:start w:val="1"/>
      <w:numFmt w:val="decimal"/>
      <w:lvlText w:val="%7."/>
      <w:lvlJc w:val="left"/>
      <w:pPr>
        <w:ind w:left="2800" w:hanging="360"/>
      </w:pPr>
    </w:lvl>
    <w:lvl w:ilvl="7" w:tplc="7D34BCD2">
      <w:start w:val="1"/>
      <w:numFmt w:val="lowerLetter"/>
      <w:lvlText w:val="%8."/>
      <w:lvlJc w:val="left"/>
      <w:pPr>
        <w:ind w:left="3200" w:hanging="360"/>
      </w:pPr>
    </w:lvl>
    <w:lvl w:ilvl="8" w:tplc="3782E4C2">
      <w:numFmt w:val="decimal"/>
      <w:lvlText w:val=""/>
      <w:lvlJc w:val="left"/>
    </w:lvl>
  </w:abstractNum>
  <w:abstractNum w:abstractNumId="5" w15:restartNumberingAfterBreak="0">
    <w:nsid w:val="2DD75EEB"/>
    <w:multiLevelType w:val="hybridMultilevel"/>
    <w:tmpl w:val="34CCDE12"/>
    <w:lvl w:ilvl="0" w:tplc="177EB4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0D284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948522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76F2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A9AE8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85C97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82817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D20C0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24CAAC8">
      <w:numFmt w:val="decimal"/>
      <w:lvlText w:val=""/>
      <w:lvlJc w:val="left"/>
    </w:lvl>
  </w:abstractNum>
  <w:abstractNum w:abstractNumId="6" w15:restartNumberingAfterBreak="0">
    <w:nsid w:val="367E3EF3"/>
    <w:multiLevelType w:val="hybridMultilevel"/>
    <w:tmpl w:val="57E6A9BC"/>
    <w:lvl w:ilvl="0" w:tplc="0BD67EE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AC8FD4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8C8FF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7A0B46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158EC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B2E8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B000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538CA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7A660AC">
      <w:numFmt w:val="decimal"/>
      <w:lvlText w:val=""/>
      <w:lvlJc w:val="left"/>
    </w:lvl>
  </w:abstractNum>
  <w:abstractNum w:abstractNumId="7" w15:restartNumberingAfterBreak="0">
    <w:nsid w:val="3C5E339F"/>
    <w:multiLevelType w:val="hybridMultilevel"/>
    <w:tmpl w:val="33F810E8"/>
    <w:lvl w:ilvl="0" w:tplc="DA544E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35038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26EE01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ED8993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2300D2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DFA070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6FAEBD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DDCAB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7C04CCA">
      <w:numFmt w:val="decimal"/>
      <w:lvlText w:val=""/>
      <w:lvlJc w:val="left"/>
    </w:lvl>
  </w:abstractNum>
  <w:abstractNum w:abstractNumId="8" w15:restartNumberingAfterBreak="0">
    <w:nsid w:val="46794D82"/>
    <w:multiLevelType w:val="hybridMultilevel"/>
    <w:tmpl w:val="61DCB670"/>
    <w:lvl w:ilvl="0" w:tplc="8D4E5324">
      <w:start w:val="1"/>
      <w:numFmt w:val="decimal"/>
      <w:lvlText w:val="%1."/>
      <w:lvlJc w:val="left"/>
      <w:pPr>
        <w:ind w:left="400" w:hanging="360"/>
      </w:pPr>
    </w:lvl>
    <w:lvl w:ilvl="1" w:tplc="E206B3AA">
      <w:start w:val="1"/>
      <w:numFmt w:val="lowerLetter"/>
      <w:lvlText w:val="%2."/>
      <w:lvlJc w:val="left"/>
      <w:pPr>
        <w:ind w:left="800" w:hanging="360"/>
      </w:pPr>
    </w:lvl>
    <w:lvl w:ilvl="2" w:tplc="0DF6E1F6">
      <w:start w:val="1"/>
      <w:numFmt w:val="lowerRoman"/>
      <w:lvlText w:val="%3."/>
      <w:lvlJc w:val="right"/>
      <w:pPr>
        <w:ind w:left="1200" w:hanging="180"/>
      </w:pPr>
    </w:lvl>
    <w:lvl w:ilvl="3" w:tplc="1DC4343C">
      <w:start w:val="1"/>
      <w:numFmt w:val="decimal"/>
      <w:lvlText w:val="%4."/>
      <w:lvlJc w:val="left"/>
      <w:pPr>
        <w:ind w:left="1600" w:hanging="360"/>
      </w:pPr>
    </w:lvl>
    <w:lvl w:ilvl="4" w:tplc="5ACEEC70">
      <w:start w:val="1"/>
      <w:numFmt w:val="lowerLetter"/>
      <w:lvlText w:val="%5."/>
      <w:lvlJc w:val="left"/>
      <w:pPr>
        <w:ind w:left="2000" w:hanging="360"/>
      </w:pPr>
    </w:lvl>
    <w:lvl w:ilvl="5" w:tplc="1868BBD4">
      <w:start w:val="1"/>
      <w:numFmt w:val="lowerRoman"/>
      <w:lvlText w:val="%6."/>
      <w:lvlJc w:val="right"/>
      <w:pPr>
        <w:ind w:left="2400" w:hanging="180"/>
      </w:pPr>
    </w:lvl>
    <w:lvl w:ilvl="6" w:tplc="53D465CE">
      <w:start w:val="1"/>
      <w:numFmt w:val="decimal"/>
      <w:lvlText w:val="%7."/>
      <w:lvlJc w:val="left"/>
      <w:pPr>
        <w:ind w:left="2800" w:hanging="360"/>
      </w:pPr>
    </w:lvl>
    <w:lvl w:ilvl="7" w:tplc="013484D2">
      <w:start w:val="1"/>
      <w:numFmt w:val="lowerLetter"/>
      <w:lvlText w:val="%8."/>
      <w:lvlJc w:val="left"/>
      <w:pPr>
        <w:ind w:left="3200" w:hanging="360"/>
      </w:pPr>
    </w:lvl>
    <w:lvl w:ilvl="8" w:tplc="FF82B9B2">
      <w:numFmt w:val="decimal"/>
      <w:lvlText w:val=""/>
      <w:lvlJc w:val="left"/>
    </w:lvl>
  </w:abstractNum>
  <w:abstractNum w:abstractNumId="9" w15:restartNumberingAfterBreak="0">
    <w:nsid w:val="59C47489"/>
    <w:multiLevelType w:val="hybridMultilevel"/>
    <w:tmpl w:val="FD14B478"/>
    <w:lvl w:ilvl="0" w:tplc="E37A80A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A24ED2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55A2A8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7B2B1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092DB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C84FC9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50E1D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F3652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2AAA43E">
      <w:numFmt w:val="decimal"/>
      <w:lvlText w:val=""/>
      <w:lvlJc w:val="left"/>
    </w:lvl>
  </w:abstractNum>
  <w:abstractNum w:abstractNumId="10" w15:restartNumberingAfterBreak="0">
    <w:nsid w:val="5A0366B8"/>
    <w:multiLevelType w:val="hybridMultilevel"/>
    <w:tmpl w:val="E7008550"/>
    <w:lvl w:ilvl="0" w:tplc="D5E08C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E0A7F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2AD8E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A8EA3B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BC44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BC8AA3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704AA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5FC00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DAA8682">
      <w:numFmt w:val="decimal"/>
      <w:lvlText w:val=""/>
      <w:lvlJc w:val="left"/>
    </w:lvl>
  </w:abstractNum>
  <w:abstractNum w:abstractNumId="11" w15:restartNumberingAfterBreak="0">
    <w:nsid w:val="61A65A97"/>
    <w:multiLevelType w:val="hybridMultilevel"/>
    <w:tmpl w:val="19BA587A"/>
    <w:lvl w:ilvl="0" w:tplc="ABB280A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58862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512D5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54EC2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09CFAB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A9EB7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DD2E63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10C186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664A76">
      <w:numFmt w:val="decimal"/>
      <w:lvlText w:val=""/>
      <w:lvlJc w:val="left"/>
    </w:lvl>
  </w:abstractNum>
  <w:abstractNum w:abstractNumId="12" w15:restartNumberingAfterBreak="0">
    <w:nsid w:val="644320BE"/>
    <w:multiLevelType w:val="hybridMultilevel"/>
    <w:tmpl w:val="C7C8B5F4"/>
    <w:lvl w:ilvl="0" w:tplc="D28A723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CF0771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F5ADF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0892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43C70F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4344D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026BB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88CA1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E2E3B02">
      <w:numFmt w:val="decimal"/>
      <w:lvlText w:val=""/>
      <w:lvlJc w:val="left"/>
    </w:lvl>
  </w:abstractNum>
  <w:num w:numId="1" w16cid:durableId="1619793475">
    <w:abstractNumId w:val="8"/>
  </w:num>
  <w:num w:numId="2" w16cid:durableId="211308267">
    <w:abstractNumId w:val="4"/>
  </w:num>
  <w:num w:numId="3" w16cid:durableId="1473524388">
    <w:abstractNumId w:val="3"/>
  </w:num>
  <w:num w:numId="4" w16cid:durableId="580257231">
    <w:abstractNumId w:val="5"/>
  </w:num>
  <w:num w:numId="5" w16cid:durableId="1940063526">
    <w:abstractNumId w:val="1"/>
  </w:num>
  <w:num w:numId="6" w16cid:durableId="668218490">
    <w:abstractNumId w:val="7"/>
  </w:num>
  <w:num w:numId="7" w16cid:durableId="1509052604">
    <w:abstractNumId w:val="9"/>
  </w:num>
  <w:num w:numId="8" w16cid:durableId="1129976070">
    <w:abstractNumId w:val="12"/>
  </w:num>
  <w:num w:numId="9" w16cid:durableId="184903725">
    <w:abstractNumId w:val="6"/>
  </w:num>
  <w:num w:numId="10" w16cid:durableId="1802841059">
    <w:abstractNumId w:val="2"/>
  </w:num>
  <w:num w:numId="11" w16cid:durableId="50346197">
    <w:abstractNumId w:val="10"/>
  </w:num>
  <w:num w:numId="12" w16cid:durableId="1407071428">
    <w:abstractNumId w:val="11"/>
  </w:num>
  <w:num w:numId="13" w16cid:durableId="193431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661"/>
    <w:rsid w:val="000E43C6"/>
    <w:rsid w:val="00897D6C"/>
    <w:rsid w:val="00944661"/>
    <w:rsid w:val="00D0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3BD4"/>
  <w15:docId w15:val="{91871850-2812-4DE8-BD0B-CB869C3B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4607</Words>
  <Characters>26446</Characters>
  <Application>Microsoft Office Word</Application>
  <DocSecurity>0</DocSecurity>
  <Lines>979</Lines>
  <Paragraphs>323</Paragraphs>
  <ScaleCrop>false</ScaleCrop>
  <Company>Novo Nordisk</Company>
  <LinksUpToDate>false</LinksUpToDate>
  <CharactersWithSpaces>30730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LGIC (Larissa Gouveia de Carvalho)</cp:lastModifiedBy>
  <cp:revision>3</cp:revision>
  <cp:lastPrinted>2025-12-18T06:59:00Z</cp:lastPrinted>
  <dcterms:created xsi:type="dcterms:W3CDTF">2025-12-18T06:57:00Z</dcterms:created>
  <dcterms:modified xsi:type="dcterms:W3CDTF">2025-12-18T07:00:00Z</dcterms:modified>
</cp:coreProperties>
</file>