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pPr>
        <w:spacing w:after="600"/>
        <w:jc w:val="center"/>
      </w:pPr>
      <w:r>
        <w:rPr>
          <w:b/>
          <w:bCs/>
          <w:sz w:val="24"/>
          <w:szCs w:val="24"/>
        </w:rPr>
        <w:t xml:space="preserve">INTELI - INSTITUTO DE TECNOLOGIA E LIDERANÇA</w:t>
      </w:r>
    </w:p>
    <w:p>
      <w:r>
        <w:rPr>
          <w:sz w:val="24"/>
          <w:szCs w:val="24"/>
        </w:rPr>
        <w:t xml:space="preserve"/>
      </w:r>
    </w:p>
    <w:p>
      <w:r>
        <w:rPr>
          <w:sz w:val="24"/>
          <w:szCs w:val="24"/>
        </w:rPr>
        <w:t xml:space="preserve"/>
      </w:r>
    </w:p>
    <w:p>
      <w:pPr>
        <w:spacing w:after="40"/>
        <w:jc w:val="center"/>
      </w:pPr>
      <w:r>
        <w:rPr>
          <w:b w:val="false"/>
          <w:bCs w:val="false"/>
          <w:sz w:val="24"/>
          <w:szCs w:val="24"/>
        </w:rPr>
        <w:t xml:space="preserve">JOSÉ VITOR MARCELINO</w:t>
      </w:r>
    </w:p>
    <w:p>
      <w:pPr>
        <w:spacing w:after="40"/>
        <w:jc w:val="center"/>
      </w:pPr>
      <w:r>
        <w:rPr>
          <w:b w:val="false"/>
          <w:bCs w:val="false"/>
          <w:sz w:val="24"/>
          <w:szCs w:val="24"/>
        </w:rPr>
        <w:t xml:space="preserve">LUIZ FERNANDO COVAS</w:t>
      </w:r>
    </w:p>
    <w:p>
      <w:pPr>
        <w:spacing w:after="40"/>
        <w:jc w:val="center"/>
      </w:pPr>
      <w:r>
        <w:rPr>
          <w:b w:val="false"/>
          <w:bCs w:val="false"/>
          <w:sz w:val="24"/>
          <w:szCs w:val="24"/>
        </w:rPr>
        <w:t xml:space="preserve">RAFAEL MATEUS ZIMMER TECHIO</w:t>
      </w:r>
    </w:p>
    <w:p>
      <w:pPr>
        <w:spacing w:after="40"/>
        <w:jc w:val="center"/>
      </w:pPr>
      <w:r>
        <w:rPr>
          <w:b w:val="false"/>
          <w:bCs w:val="false"/>
          <w:sz w:val="24"/>
          <w:szCs w:val="24"/>
        </w:rPr>
        <w:t xml:space="preserve">YURI FREITAS ANGELO TOLEDO</w:t>
      </w:r>
    </w:p>
    <w:p>
      <w:r>
        <w:rPr>
          <w:sz w:val="24"/>
          <w:szCs w:val="24"/>
        </w:rPr>
        <w:t xml:space="preserve"/>
      </w:r>
    </w:p>
    <w:p>
      <w:r>
        <w:rPr>
          <w:sz w:val="24"/>
          <w:szCs w:val="24"/>
        </w:rPr>
        <w:t xml:space="preserve"/>
      </w:r>
    </w:p>
    <w:p>
      <w:r>
        <w:rPr>
          <w:sz w:val="24"/>
          <w:szCs w:val="24"/>
        </w:rPr>
        <w:t xml:space="preserve"/>
      </w:r>
    </w:p>
    <w:p>
      <w:pPr>
        <w:spacing w:after="200"/>
        <w:jc w:val="center"/>
      </w:pPr>
      <w:r>
        <w:rPr>
          <w:b/>
          <w:bCs/>
          <w:sz w:val="24"/>
          <w:szCs w:val="24"/>
        </w:rPr>
        <w:t xml:space="preserve">From Services to SaaS: Creating a Service-First, Product-Next Startup for International Trade Companies</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20"/>
        <w:jc w:val="center"/>
      </w:pPr>
      <w:r>
        <w:rPr>
          <w:b w:val="false"/>
          <w:bCs w:val="false"/>
          <w:sz w:val="24"/>
          <w:szCs w:val="24"/>
        </w:rPr>
        <w:t xml:space="preserve">São Paulo</w:t>
      </w:r>
    </w:p>
    <w:p>
      <w:pPr>
        <w:spacing w:after="0"/>
        <w:jc w:val="center"/>
      </w:pPr>
      <w:r>
        <w:rPr>
          <w:b w:val="false"/>
          <w:bCs w:val="false"/>
          <w:sz w:val="24"/>
          <w:szCs w:val="24"/>
        </w:rPr>
        <w:t xml:space="preserve">2026</w:t>
      </w:r>
    </w:p>
    <w:p>
      <w:r>
        <w:br w:type="page"/>
      </w:r>
    </w:p>
    <w:p>
      <w:r>
        <w:rPr>
          <w:sz w:val="24"/>
          <w:szCs w:val="24"/>
        </w:rPr>
        <w:t xml:space="preserve"/>
      </w:r>
    </w:p>
    <w:p>
      <w:pPr>
        <w:spacing w:after="40"/>
        <w:jc w:val="center"/>
      </w:pPr>
      <w:r>
        <w:rPr>
          <w:b w:val="false"/>
          <w:bCs w:val="false"/>
          <w:sz w:val="24"/>
          <w:szCs w:val="24"/>
        </w:rPr>
        <w:t xml:space="preserve">JOSÉ VITOR MARCELINO</w:t>
      </w:r>
    </w:p>
    <w:p>
      <w:pPr>
        <w:spacing w:after="40"/>
        <w:jc w:val="center"/>
      </w:pPr>
      <w:r>
        <w:rPr>
          <w:b w:val="false"/>
          <w:bCs w:val="false"/>
          <w:sz w:val="24"/>
          <w:szCs w:val="24"/>
        </w:rPr>
        <w:t xml:space="preserve">LUIZ FERNANDO COVAS</w:t>
      </w:r>
    </w:p>
    <w:p>
      <w:pPr>
        <w:spacing w:after="40"/>
        <w:jc w:val="center"/>
      </w:pPr>
      <w:r>
        <w:rPr>
          <w:b w:val="false"/>
          <w:bCs w:val="false"/>
          <w:sz w:val="24"/>
          <w:szCs w:val="24"/>
        </w:rPr>
        <w:t xml:space="preserve">RAFAEL MATEUS ZIMMER TECHIO</w:t>
      </w:r>
    </w:p>
    <w:p>
      <w:pPr>
        <w:spacing w:after="40"/>
        <w:jc w:val="center"/>
      </w:pPr>
      <w:r>
        <w:rPr>
          <w:b w:val="false"/>
          <w:bCs w:val="false"/>
          <w:sz w:val="24"/>
          <w:szCs w:val="24"/>
        </w:rPr>
        <w:t xml:space="preserve">YURI FREITAS ANGELO TOLEDO</w:t>
      </w:r>
    </w:p>
    <w:p>
      <w:r>
        <w:rPr>
          <w:sz w:val="24"/>
          <w:szCs w:val="24"/>
        </w:rPr>
        <w:t xml:space="preserve"/>
      </w:r>
    </w:p>
    <w:p>
      <w:r>
        <w:rPr>
          <w:sz w:val="24"/>
          <w:szCs w:val="24"/>
        </w:rPr>
        <w:t xml:space="preserve"/>
      </w:r>
    </w:p>
    <w:p>
      <w:pPr>
        <w:spacing w:after="300"/>
        <w:jc w:val="center"/>
      </w:pPr>
      <w:r>
        <w:rPr>
          <w:b/>
          <w:bCs/>
          <w:sz w:val="24"/>
          <w:szCs w:val="24"/>
        </w:rPr>
        <w:t xml:space="preserve">From Services to SaaS: Creating a Service-First, Product-Next Startup for International Trade Companies</w:t>
      </w:r>
    </w:p>
    <w:p>
      <w:r>
        <w:rPr>
          <w:sz w:val="24"/>
          <w:szCs w:val="24"/>
        </w:rPr>
        <w:t xml:space="preserve"/>
      </w:r>
    </w:p>
    <w:p>
      <w:r>
        <w:rPr>
          <w:sz w:val="24"/>
          <w:szCs w:val="24"/>
        </w:rPr>
        <w:t xml:space="preserve"/>
      </w:r>
    </w:p>
    <w:p>
      <w:pPr>
        <w:spacing w:after="0" w:before="240"/>
        <w:jc w:val="center"/>
      </w:pPr>
      <w:r>
        <w:rPr>
          <w:sz w:val="24"/>
          <w:szCs w:val="24"/>
        </w:rPr>
        <w:t xml:space="preserve">_________________________________</w:t>
      </w:r>
    </w:p>
    <w:p>
      <w:pPr>
        <w:spacing w:after="80"/>
        <w:jc w:val="center"/>
      </w:pPr>
      <w:r>
        <w:rPr>
          <w:sz w:val="24"/>
          <w:szCs w:val="24"/>
        </w:rPr>
        <w:t xml:space="preserve">Prof. Cesar Almiñana (Supervisor)</w:t>
      </w:r>
    </w:p>
    <w:p>
      <w:pPr>
        <w:spacing w:after="0" w:before="240"/>
        <w:jc w:val="center"/>
      </w:pPr>
      <w:r>
        <w:rPr>
          <w:sz w:val="24"/>
          <w:szCs w:val="24"/>
        </w:rPr>
        <w:t xml:space="preserve">_________________________________</w:t>
      </w:r>
    </w:p>
    <w:p>
      <w:pPr>
        <w:spacing w:after="80"/>
        <w:jc w:val="center"/>
      </w:pPr>
      <w:r>
        <w:rPr>
          <w:sz w:val="24"/>
          <w:szCs w:val="24"/>
        </w:rPr>
        <w:t xml:space="preserve">José Vitor Marcelino (Student)</w:t>
      </w:r>
    </w:p>
    <w:p>
      <w:pPr>
        <w:spacing w:after="0" w:before="240"/>
        <w:jc w:val="center"/>
      </w:pPr>
      <w:r>
        <w:rPr>
          <w:sz w:val="24"/>
          <w:szCs w:val="24"/>
        </w:rPr>
        <w:t xml:space="preserve">_________________________________</w:t>
      </w:r>
    </w:p>
    <w:p>
      <w:pPr>
        <w:spacing w:after="80"/>
        <w:jc w:val="center"/>
      </w:pPr>
      <w:r>
        <w:rPr>
          <w:sz w:val="24"/>
          <w:szCs w:val="24"/>
        </w:rPr>
        <w:t xml:space="preserve">Luiz Fernando Covas (Student)</w:t>
      </w:r>
    </w:p>
    <w:p>
      <w:pPr>
        <w:spacing w:after="0" w:before="240"/>
        <w:jc w:val="center"/>
      </w:pPr>
      <w:r>
        <w:rPr>
          <w:sz w:val="24"/>
          <w:szCs w:val="24"/>
        </w:rPr>
        <w:t xml:space="preserve">_________________________________</w:t>
      </w:r>
    </w:p>
    <w:p>
      <w:pPr>
        <w:spacing w:after="80"/>
        <w:jc w:val="center"/>
      </w:pPr>
      <w:r>
        <w:rPr>
          <w:sz w:val="24"/>
          <w:szCs w:val="24"/>
        </w:rPr>
        <w:t xml:space="preserve">Rafael Mateus Zimmer Techio (Student)</w:t>
      </w:r>
    </w:p>
    <w:p>
      <w:pPr>
        <w:spacing w:after="0" w:before="240"/>
        <w:jc w:val="center"/>
      </w:pPr>
      <w:r>
        <w:rPr>
          <w:sz w:val="24"/>
          <w:szCs w:val="24"/>
        </w:rPr>
        <w:t xml:space="preserve">_________________________________</w:t>
      </w:r>
    </w:p>
    <w:p>
      <w:pPr>
        <w:spacing w:after="80"/>
        <w:jc w:val="center"/>
      </w:pPr>
      <w:r>
        <w:rPr>
          <w:sz w:val="24"/>
          <w:szCs w:val="24"/>
        </w:rPr>
        <w:t xml:space="preserve">Yuri Freitas Angelo Toledo (Student)</w:t>
      </w:r>
    </w:p>
    <w:p>
      <w:r>
        <w:br w:type="page"/>
      </w:r>
    </w:p>
    <w:p>
      <w:pPr>
        <w:spacing w:after="200"/>
        <w:jc w:val="center"/>
      </w:pPr>
      <w:r>
        <w:rPr>
          <w:b/>
          <w:bCs/>
          <w:sz w:val="26"/>
          <w:szCs w:val="26"/>
        </w:rPr>
        <w:t xml:space="preserve">ACKNOWLEDGMENTS</w:t>
      </w:r>
    </w:p>
    <w:p>
      <w:pPr>
        <w:spacing w:after="160" w:line="276"/>
        <w:jc w:val="both"/>
      </w:pPr>
      <w:r>
        <w:rPr>
          <w:sz w:val="24"/>
          <w:szCs w:val="24"/>
        </w:rPr>
        <w:t xml:space="preserve">This work expresses sincere gratitude to Cesar Almiñana for his invaluable guidance, insightful corrections, and continuous support throughout the development of the project. His direction was fundamental in shaping the structure and quality of the work.</w:t>
      </w:r>
    </w:p>
    <w:p>
      <w:pPr>
        <w:spacing w:after="160" w:line="276"/>
        <w:jc w:val="both"/>
      </w:pPr>
      <w:r>
        <w:rPr>
          <w:sz w:val="24"/>
          <w:szCs w:val="24"/>
        </w:rPr>
        <w:t xml:space="preserve">Thanks are also extended to Inteli for providing the necessary support, infrastructure, and resources that enabled the development of this project. The environment and tools offered by the institution were essential for its successful completion.</w:t>
      </w:r>
    </w:p>
    <w:p>
      <w:r>
        <w:br w:type="page"/>
      </w:r>
    </w:p>
    <w:p>
      <w:pPr>
        <w:spacing w:after="200"/>
        <w:jc w:val="center"/>
      </w:pPr>
      <w:r>
        <w:rPr>
          <w:b/>
          <w:bCs/>
          <w:sz w:val="26"/>
          <w:szCs w:val="26"/>
        </w:rPr>
        <w:t xml:space="preserve">ABSTRACT</w:t>
      </w:r>
    </w:p>
    <w:p>
      <w:pPr>
        <w:spacing w:after="160" w:line="276"/>
        <w:jc w:val="both"/>
      </w:pPr>
      <w:r>
        <w:rPr>
          <w:sz w:val="24"/>
          <w:szCs w:val="24"/>
        </w:rPr>
        <w:t xml:space="preserve">This work presents the development of a Service-First, Product-Next B2B startup focused on the international trade sector. The startup, Kavex, emerges from the intersection of entrepreneurial experience and a culture of continuous innovation, emphasizing close customer interaction, rapid experimentation, and validated learning as core principles. Initially, the team provides consulting-like services to identify client pain points, map workflows, and co-create tailored solutions, generating immediate value while acquiring deep sector knowledge.</w:t>
      </w:r>
    </w:p>
    <w:p>
      <w:pPr>
        <w:spacing w:after="160" w:line="276"/>
        <w:jc w:val="both"/>
      </w:pPr>
      <w:r>
        <w:rPr>
          <w:sz w:val="24"/>
          <w:szCs w:val="24"/>
        </w:rPr>
        <w:t xml:space="preserve">Building on prior entrepreneurial experience and a network inherited from the Clonex venture builder, the startup applies these insights to design scalable software-as-a-service (SaaS) products that address real market needs. The approach is guided by a community-oriented mindset, fostering collaboration with clients and partners to create sustainable and impactful solutions. This work highlights the importance of practical experimentation as a foundation for developing products that are both relevant and effective, demonstrating a model that integrates academic rigor, systemic thinking, and market pragmatism in the process of creating innovative B2B solutions.</w:t>
      </w:r>
    </w:p>
    <w:p>
      <w:pPr>
        <w:spacing w:after="160" w:line="276"/>
        <w:jc w:val="both"/>
      </w:pPr>
      <w:r>
        <w:rPr>
          <w:sz w:val="24"/>
          <w:szCs w:val="24"/>
        </w:rPr>
        <w:t xml:space="preserve">In Module 4, the project advances from a validated single-client MVP toward a multi-tenant product in real production, re-architected on a cloud-native serverless foundation, instrumented with end-to-end observability, governed by a formal design system, and supported by a structured commercial expansion strategy designed to replicate delivery to multiple clients without a linear increase in operational effort.</w:t>
      </w:r>
    </w:p>
    <w:p>
      <w:pPr>
        <w:spacing w:after="120" w:before="120"/>
        <w:jc w:val="both"/>
      </w:pPr>
      <w:r>
        <w:rPr>
          <w:b/>
          <w:bCs/>
          <w:sz w:val="24"/>
          <w:szCs w:val="24"/>
        </w:rPr>
        <w:t xml:space="preserve">Keywords: </w:t>
      </w:r>
      <w:r>
        <w:rPr>
          <w:sz w:val="24"/>
          <w:szCs w:val="24"/>
        </w:rPr>
        <w:t xml:space="preserve">SaaS; B2B; Business Model Validation; Product Development; Multi-Tenant Architecture.</w:t>
      </w:r>
    </w:p>
    <w:p>
      <w:r>
        <w:br w:type="page"/>
      </w:r>
    </w:p>
    <w:p>
      <w:pPr>
        <w:spacing w:after="200"/>
        <w:jc w:val="center"/>
      </w:pPr>
      <w:r>
        <w:rPr>
          <w:b/>
          <w:bCs/>
          <w:sz w:val="26"/>
          <w:szCs w:val="26"/>
        </w:rPr>
        <w:t xml:space="preserve">LIST OF ACRONYMS</w:t>
      </w:r>
    </w:p>
    <w:p>
      <w:pPr>
        <w:pStyle w:val="ListParagraph"/>
        <w:numPr>
          <w:ilvl w:val="0"/>
          <w:numId w:val="2"/>
        </w:numPr>
        <w:spacing w:after="60" w:line="276"/>
        <w:jc w:val="both"/>
      </w:pPr>
      <w:r>
        <w:rPr>
          <w:sz w:val="24"/>
          <w:szCs w:val="24"/>
        </w:rPr>
        <w:t xml:space="preserve">SaaS – Software as a Service</w:t>
      </w:r>
    </w:p>
    <w:p>
      <w:pPr>
        <w:pStyle w:val="ListParagraph"/>
        <w:numPr>
          <w:ilvl w:val="0"/>
          <w:numId w:val="2"/>
        </w:numPr>
        <w:spacing w:after="60" w:line="276"/>
        <w:jc w:val="both"/>
      </w:pPr>
      <w:r>
        <w:rPr>
          <w:sz w:val="24"/>
          <w:szCs w:val="24"/>
        </w:rPr>
        <w:t xml:space="preserve">SaaSo – Service as a Software</w:t>
      </w:r>
    </w:p>
    <w:p>
      <w:pPr>
        <w:pStyle w:val="ListParagraph"/>
        <w:numPr>
          <w:ilvl w:val="0"/>
          <w:numId w:val="2"/>
        </w:numPr>
        <w:spacing w:after="60" w:line="276"/>
        <w:jc w:val="both"/>
      </w:pPr>
      <w:r>
        <w:rPr>
          <w:sz w:val="24"/>
          <w:szCs w:val="24"/>
        </w:rPr>
        <w:t xml:space="preserve">B2B – Business to Business</w:t>
      </w:r>
    </w:p>
    <w:p>
      <w:pPr>
        <w:pStyle w:val="ListParagraph"/>
        <w:numPr>
          <w:ilvl w:val="0"/>
          <w:numId w:val="2"/>
        </w:numPr>
        <w:spacing w:after="60" w:line="276"/>
        <w:jc w:val="both"/>
      </w:pPr>
      <w:r>
        <w:rPr>
          <w:sz w:val="24"/>
          <w:szCs w:val="24"/>
        </w:rPr>
        <w:t xml:space="preserve">NFS-e – Electronic Service Invoice (Nota Fiscal de Serviço eletrônica)</w:t>
      </w:r>
    </w:p>
    <w:p>
      <w:pPr>
        <w:pStyle w:val="ListParagraph"/>
        <w:numPr>
          <w:ilvl w:val="0"/>
          <w:numId w:val="2"/>
        </w:numPr>
        <w:spacing w:after="60" w:line="276"/>
        <w:jc w:val="both"/>
      </w:pPr>
      <w:r>
        <w:rPr>
          <w:sz w:val="24"/>
          <w:szCs w:val="24"/>
        </w:rPr>
        <w:t xml:space="preserve">ERP – Enterprise Resource Planning</w:t>
      </w:r>
    </w:p>
    <w:p>
      <w:pPr>
        <w:pStyle w:val="ListParagraph"/>
        <w:numPr>
          <w:ilvl w:val="0"/>
          <w:numId w:val="2"/>
        </w:numPr>
        <w:spacing w:after="60" w:line="276"/>
        <w:jc w:val="both"/>
      </w:pPr>
      <w:r>
        <w:rPr>
          <w:sz w:val="24"/>
          <w:szCs w:val="24"/>
        </w:rPr>
        <w:t xml:space="preserve">FDE – Forward Deployed Engineer</w:t>
      </w:r>
    </w:p>
    <w:p>
      <w:pPr>
        <w:pStyle w:val="ListParagraph"/>
        <w:numPr>
          <w:ilvl w:val="0"/>
          <w:numId w:val="2"/>
        </w:numPr>
        <w:spacing w:after="60" w:line="276"/>
        <w:jc w:val="both"/>
      </w:pPr>
      <w:r>
        <w:rPr>
          <w:sz w:val="24"/>
          <w:szCs w:val="24"/>
        </w:rPr>
        <w:t xml:space="preserve">CSE – Customer Success Engineer</w:t>
      </w:r>
    </w:p>
    <w:p>
      <w:pPr>
        <w:pStyle w:val="ListParagraph"/>
        <w:numPr>
          <w:ilvl w:val="0"/>
          <w:numId w:val="2"/>
        </w:numPr>
        <w:spacing w:after="60" w:line="276"/>
        <w:jc w:val="both"/>
      </w:pPr>
      <w:r>
        <w:rPr>
          <w:sz w:val="24"/>
          <w:szCs w:val="24"/>
        </w:rPr>
        <w:t xml:space="preserve">IaC – Infrastructure as Code</w:t>
      </w:r>
    </w:p>
    <w:p>
      <w:pPr>
        <w:pStyle w:val="ListParagraph"/>
        <w:numPr>
          <w:ilvl w:val="0"/>
          <w:numId w:val="2"/>
        </w:numPr>
        <w:spacing w:after="60" w:line="276"/>
        <w:jc w:val="both"/>
      </w:pPr>
      <w:r>
        <w:rPr>
          <w:sz w:val="24"/>
          <w:szCs w:val="24"/>
        </w:rPr>
        <w:t xml:space="preserve">ICP – Ideal Customer Profile</w:t>
      </w:r>
    </w:p>
    <w:p>
      <w:pPr>
        <w:pStyle w:val="ListParagraph"/>
        <w:numPr>
          <w:ilvl w:val="0"/>
          <w:numId w:val="2"/>
        </w:numPr>
        <w:spacing w:after="60" w:line="276"/>
        <w:jc w:val="both"/>
      </w:pPr>
      <w:r>
        <w:rPr>
          <w:sz w:val="24"/>
          <w:szCs w:val="24"/>
        </w:rPr>
        <w:t xml:space="preserve">SLA – Service Level Agreement</w:t>
      </w:r>
    </w:p>
    <w:p>
      <w:pPr>
        <w:pStyle w:val="ListParagraph"/>
        <w:numPr>
          <w:ilvl w:val="0"/>
          <w:numId w:val="2"/>
        </w:numPr>
        <w:spacing w:after="60" w:line="276"/>
        <w:jc w:val="both"/>
      </w:pPr>
      <w:r>
        <w:rPr>
          <w:sz w:val="24"/>
          <w:szCs w:val="24"/>
        </w:rPr>
        <w:t xml:space="preserve">ROI – Return on Investment</w:t>
      </w:r>
    </w:p>
    <w:p>
      <w:r>
        <w:br w:type="page"/>
      </w:r>
    </w:p>
    <w:p>
      <w:pPr>
        <w:spacing w:after="200"/>
        <w:jc w:val="center"/>
      </w:pPr>
      <w:r>
        <w:rPr>
          <w:b/>
          <w:bCs/>
          <w:sz w:val="26"/>
          <w:szCs w:val="26"/>
        </w:rPr>
        <w:t xml:space="preserve">SUMMARY</w:t>
      </w:r>
    </w:p>
    <w:p>
      <w:pPr>
        <w:spacing w:after="60"/>
        <w:ind w:left="0"/>
      </w:pPr>
      <w:r>
        <w:rPr>
          <w:sz w:val="24"/>
          <w:szCs w:val="24"/>
        </w:rPr>
        <w:t xml:space="preserve">1. Introduction</w:t>
      </w:r>
    </w:p>
    <w:p>
      <w:pPr>
        <w:spacing w:after="60"/>
        <w:ind w:left="360"/>
      </w:pPr>
      <w:r>
        <w:rPr>
          <w:sz w:val="24"/>
          <w:szCs w:val="24"/>
        </w:rPr>
        <w:t xml:space="preserve">1.1 Problem</w:t>
      </w:r>
    </w:p>
    <w:p>
      <w:pPr>
        <w:spacing w:after="60"/>
        <w:ind w:left="360"/>
      </w:pPr>
      <w:r>
        <w:rPr>
          <w:sz w:val="24"/>
          <w:szCs w:val="24"/>
        </w:rPr>
        <w:t xml:space="preserve">1.2 Objectives</w:t>
      </w:r>
    </w:p>
    <w:p>
      <w:pPr>
        <w:spacing w:after="60"/>
        <w:ind w:left="720"/>
      </w:pPr>
      <w:r>
        <w:rPr>
          <w:sz w:val="24"/>
          <w:szCs w:val="24"/>
        </w:rPr>
        <w:t xml:space="preserve">1.2.1 Specific Objectives</w:t>
      </w:r>
    </w:p>
    <w:p>
      <w:pPr>
        <w:spacing w:after="60"/>
        <w:ind w:left="0"/>
      </w:pPr>
      <w:r>
        <w:rPr>
          <w:sz w:val="24"/>
          <w:szCs w:val="24"/>
        </w:rPr>
        <w:t xml:space="preserve">2. Methodology</w:t>
      </w:r>
    </w:p>
    <w:p>
      <w:pPr>
        <w:spacing w:after="60"/>
        <w:ind w:left="360"/>
      </w:pPr>
      <w:r>
        <w:rPr>
          <w:sz w:val="24"/>
          <w:szCs w:val="24"/>
        </w:rPr>
        <w:t xml:space="preserve">2.1 Action Research Methodology</w:t>
      </w:r>
    </w:p>
    <w:p>
      <w:pPr>
        <w:spacing w:after="60"/>
        <w:ind w:left="360"/>
      </w:pPr>
      <w:r>
        <w:rPr>
          <w:sz w:val="24"/>
          <w:szCs w:val="24"/>
        </w:rPr>
        <w:t xml:space="preserve">2.2 Action Research Approach</w:t>
      </w:r>
    </w:p>
    <w:p>
      <w:pPr>
        <w:spacing w:after="60"/>
        <w:ind w:left="0"/>
      </w:pPr>
      <w:r>
        <w:rPr>
          <w:sz w:val="24"/>
          <w:szCs w:val="24"/>
        </w:rPr>
        <w:t xml:space="preserve">3. Project Context</w:t>
      </w:r>
    </w:p>
    <w:p>
      <w:pPr>
        <w:spacing w:after="60"/>
        <w:ind w:left="360"/>
      </w:pPr>
      <w:r>
        <w:rPr>
          <w:sz w:val="24"/>
          <w:szCs w:val="24"/>
        </w:rPr>
        <w:t xml:space="preserve">3.1 Startup Background</w:t>
      </w:r>
    </w:p>
    <w:p>
      <w:pPr>
        <w:spacing w:after="60"/>
        <w:ind w:left="360"/>
      </w:pPr>
      <w:r>
        <w:rPr>
          <w:sz w:val="24"/>
          <w:szCs w:val="24"/>
        </w:rPr>
        <w:t xml:space="preserve">3.2 Market Context</w:t>
      </w:r>
    </w:p>
    <w:p>
      <w:pPr>
        <w:spacing w:after="60"/>
        <w:ind w:left="360"/>
      </w:pPr>
      <w:r>
        <w:rPr>
          <w:sz w:val="24"/>
          <w:szCs w:val="24"/>
        </w:rPr>
        <w:t xml:space="preserve">3.3 Business Model and Approach</w:t>
      </w:r>
    </w:p>
    <w:p>
      <w:pPr>
        <w:spacing w:after="60"/>
        <w:ind w:left="360"/>
      </w:pPr>
      <w:r>
        <w:rPr>
          <w:sz w:val="24"/>
          <w:szCs w:val="24"/>
        </w:rPr>
        <w:t xml:space="preserve">3.4 Technical Context</w:t>
      </w:r>
    </w:p>
    <w:p>
      <w:pPr>
        <w:spacing w:after="60"/>
        <w:ind w:left="360"/>
      </w:pPr>
      <w:r>
        <w:rPr>
          <w:sz w:val="24"/>
          <w:szCs w:val="24"/>
        </w:rPr>
        <w:t xml:space="preserve">3.5 Risks and Requirements</w:t>
      </w:r>
    </w:p>
    <w:p>
      <w:pPr>
        <w:spacing w:after="60"/>
        <w:ind w:left="0"/>
      </w:pPr>
      <w:r>
        <w:rPr>
          <w:sz w:val="24"/>
          <w:szCs w:val="24"/>
        </w:rPr>
        <w:t xml:space="preserve">4. Module Artifacts</w:t>
      </w:r>
    </w:p>
    <w:p>
      <w:pPr>
        <w:spacing w:after="60"/>
        <w:ind w:left="360"/>
      </w:pPr>
      <w:r>
        <w:rPr>
          <w:sz w:val="24"/>
          <w:szCs w:val="24"/>
        </w:rPr>
        <w:t xml:space="preserve">Sprint 1 – Multi-Tenant Architecture and Design Patterns for Replication</w:t>
      </w:r>
    </w:p>
    <w:p>
      <w:pPr>
        <w:spacing w:after="60"/>
        <w:ind w:left="360"/>
      </w:pPr>
      <w:r>
        <w:rPr>
          <w:sz w:val="24"/>
          <w:szCs w:val="24"/>
        </w:rPr>
        <w:t xml:space="preserve">Sprint 2 – Observability and Environment Health</w:t>
      </w:r>
    </w:p>
    <w:p>
      <w:pPr>
        <w:spacing w:after="60"/>
        <w:ind w:left="360"/>
      </w:pPr>
      <w:r>
        <w:rPr>
          <w:sz w:val="24"/>
          <w:szCs w:val="24"/>
        </w:rPr>
        <w:t xml:space="preserve">Sprint 3 – Design System and Commercial Expansion Strategy</w:t>
      </w:r>
    </w:p>
    <w:p>
      <w:pPr>
        <w:spacing w:after="60"/>
        <w:ind w:left="360"/>
      </w:pPr>
      <w:r>
        <w:rPr>
          <w:sz w:val="24"/>
          <w:szCs w:val="24"/>
        </w:rPr>
        <w:t xml:space="preserve">Sprint 4 – Final Product Pitch</w:t>
      </w:r>
    </w:p>
    <w:p>
      <w:pPr>
        <w:spacing w:after="60"/>
        <w:ind w:left="360"/>
      </w:pPr>
      <w:r>
        <w:rPr>
          <w:sz w:val="24"/>
          <w:szCs w:val="24"/>
        </w:rPr>
        <w:t xml:space="preserve">Sprint 5 – Board Feedback Corrections</w:t>
      </w:r>
    </w:p>
    <w:p>
      <w:pPr>
        <w:spacing w:after="60"/>
        <w:ind w:left="0"/>
      </w:pPr>
      <w:r>
        <w:rPr>
          <w:sz w:val="24"/>
          <w:szCs w:val="24"/>
        </w:rPr>
        <w:t xml:space="preserve">REFERENCES</w:t>
      </w:r>
    </w:p>
    <w:p>
      <w:r>
        <w:br w:type="page"/>
      </w:r>
    </w:p>
    <w:p>
      <w:pPr>
        <w:pStyle w:val="Heading1"/>
        <w:spacing w:after="160" w:before="280"/>
      </w:pPr>
      <w:r>
        <w:rPr>
          <w:b/>
          <w:bCs/>
          <w:sz w:val="30"/>
          <w:szCs w:val="30"/>
        </w:rPr>
        <w:t xml:space="preserve">1. INTRODUCTION</w:t>
      </w:r>
    </w:p>
    <w:p>
      <w:pPr>
        <w:spacing w:after="160" w:line="276"/>
        <w:jc w:val="both"/>
      </w:pPr>
      <w:r>
        <w:rPr>
          <w:sz w:val="24"/>
          <w:szCs w:val="24"/>
        </w:rPr>
        <w:t xml:space="preserve">This work presents the development of a B2B startup, Kavex, guided by the Service-First, Product-Next model, focusing on the creation of SaaS solutions to automate the issuance and receipt of Electronic Service Invoices (NFS-e) in the context of international trade. The startup originates from the founders’ previous entrepreneurial experience, inheriting from the Clonex venture builder values such as resilience, pragmatism, and an established client network. Initial operations focus on the international trade sector, identifying urgent needs and automation opportunities while aiming to develop a scalable product aligned with market demands.</w:t>
      </w:r>
    </w:p>
    <w:p>
      <w:pPr>
        <w:pStyle w:val="Heading2"/>
        <w:spacing w:after="120" w:before="200"/>
      </w:pPr>
      <w:r>
        <w:rPr>
          <w:b/>
          <w:bCs/>
          <w:sz w:val="26"/>
          <w:szCs w:val="26"/>
        </w:rPr>
        <w:t xml:space="preserve">1.1 Problem</w:t>
      </w:r>
    </w:p>
    <w:p>
      <w:pPr>
        <w:spacing w:after="160" w:line="276"/>
        <w:jc w:val="both"/>
      </w:pPr>
      <w:r>
        <w:rPr>
          <w:sz w:val="24"/>
          <w:szCs w:val="24"/>
        </w:rPr>
        <w:t xml:space="preserve">The Brazilian international trade market faces complex and often manual fiscal processes. Issuance and receipt of NFS-e involve multiple channels, manual entries, risk of inconsistencies, lack of traceability, and auditing difficulties. Existing tools, such as ERPs and taxtechs, only partially meet these needs, leaving gaps in integration, automation, and real-time visibility. These factors lead to rework, increased costs, and exposure to fiscal risks, highlighting the need for automated and scalable solutions.</w:t>
      </w:r>
    </w:p>
    <w:p>
      <w:pPr>
        <w:pStyle w:val="Heading2"/>
        <w:spacing w:after="120" w:before="200"/>
      </w:pPr>
      <w:r>
        <w:rPr>
          <w:b/>
          <w:bCs/>
          <w:sz w:val="26"/>
          <w:szCs w:val="26"/>
        </w:rPr>
        <w:t xml:space="preserve">1.2 Objectives</w:t>
      </w:r>
    </w:p>
    <w:p>
      <w:pPr>
        <w:spacing w:after="160" w:line="276"/>
        <w:jc w:val="both"/>
      </w:pPr>
      <w:r>
        <w:rPr>
          <w:sz w:val="24"/>
          <w:szCs w:val="24"/>
        </w:rPr>
        <w:t xml:space="preserve">The general objective of this work is to develop a SaaS solution to automate the issuance and receipt of NFS-e, starting with applied consultancy and gradually evolving into a scalable product.</w:t>
      </w:r>
    </w:p>
    <w:p>
      <w:pPr>
        <w:pStyle w:val="Heading3"/>
        <w:spacing w:after="100" w:before="160"/>
      </w:pPr>
      <w:r>
        <w:rPr>
          <w:b/>
          <w:bCs/>
          <w:sz w:val="24"/>
          <w:szCs w:val="24"/>
        </w:rPr>
        <w:t xml:space="preserve">1.2.1 Specific Objectives</w:t>
      </w:r>
    </w:p>
    <w:p>
      <w:pPr>
        <w:pStyle w:val="ListParagraph"/>
        <w:numPr>
          <w:ilvl w:val="0"/>
          <w:numId w:val="2"/>
        </w:numPr>
        <w:spacing w:after="60" w:line="276"/>
        <w:jc w:val="both"/>
      </w:pPr>
      <w:r>
        <w:rPr>
          <w:sz w:val="24"/>
          <w:szCs w:val="24"/>
        </w:rPr>
        <w:t xml:space="preserve">Map and understand the problems and needs of the international trade sector related to NFS-e issuance and receipt;</w:t>
      </w:r>
    </w:p>
    <w:p>
      <w:pPr>
        <w:pStyle w:val="ListParagraph"/>
        <w:numPr>
          <w:ilvl w:val="0"/>
          <w:numId w:val="2"/>
        </w:numPr>
        <w:spacing w:after="60" w:line="276"/>
        <w:jc w:val="both"/>
      </w:pPr>
      <w:r>
        <w:rPr>
          <w:sz w:val="24"/>
          <w:szCs w:val="24"/>
        </w:rPr>
        <w:t xml:space="preserve">Apply Service-First practices to co-create solutions with clients, validating business hypotheses;</w:t>
      </w:r>
    </w:p>
    <w:p>
      <w:pPr>
        <w:pStyle w:val="ListParagraph"/>
        <w:numPr>
          <w:ilvl w:val="0"/>
          <w:numId w:val="2"/>
        </w:numPr>
        <w:spacing w:after="60" w:line="276"/>
        <w:jc w:val="both"/>
      </w:pPr>
      <w:r>
        <w:rPr>
          <w:sz w:val="24"/>
          <w:szCs w:val="24"/>
        </w:rPr>
        <w:t xml:space="preserve">Develop prototypes and MVPs, evolving them into a scalable multi-tenant product using cloud-native technologies;</w:t>
      </w:r>
    </w:p>
    <w:p>
      <w:pPr>
        <w:pStyle w:val="ListParagraph"/>
        <w:numPr>
          <w:ilvl w:val="0"/>
          <w:numId w:val="2"/>
        </w:numPr>
        <w:spacing w:after="60" w:line="276"/>
        <w:jc w:val="both"/>
      </w:pPr>
      <w:r>
        <w:rPr>
          <w:sz w:val="24"/>
          <w:szCs w:val="24"/>
        </w:rPr>
        <w:t xml:space="preserve">Ensure data security, compliance, and integrity according to LGPD;</w:t>
      </w:r>
    </w:p>
    <w:p>
      <w:pPr>
        <w:pStyle w:val="ListParagraph"/>
        <w:numPr>
          <w:ilvl w:val="0"/>
          <w:numId w:val="2"/>
        </w:numPr>
        <w:spacing w:after="60" w:line="276"/>
        <w:jc w:val="both"/>
      </w:pPr>
      <w:r>
        <w:rPr>
          <w:sz w:val="24"/>
          <w:szCs w:val="24"/>
        </w:rPr>
        <w:t xml:space="preserve">Evaluate technical feasibility and scalability of the solution for subsequent SaaS development;</w:t>
      </w:r>
    </w:p>
    <w:p>
      <w:pPr>
        <w:pStyle w:val="ListParagraph"/>
        <w:numPr>
          <w:ilvl w:val="0"/>
          <w:numId w:val="2"/>
        </w:numPr>
        <w:spacing w:after="60" w:line="276"/>
        <w:jc w:val="both"/>
      </w:pPr>
      <w:r>
        <w:rPr>
          <w:sz w:val="24"/>
          <w:szCs w:val="24"/>
        </w:rPr>
        <w:t xml:space="preserve">Generate dashboards, observability, and KPIs for real-time monitoring and control.</w:t>
      </w:r>
    </w:p>
    <w:p>
      <w:pPr>
        <w:pStyle w:val="Heading1"/>
        <w:spacing w:after="160" w:before="280"/>
      </w:pPr>
      <w:r>
        <w:rPr>
          <w:b/>
          <w:bCs/>
          <w:sz w:val="30"/>
          <w:szCs w:val="30"/>
        </w:rPr>
        <w:t xml:space="preserve">2. METHODOLOGY</w:t>
      </w:r>
    </w:p>
    <w:p>
      <w:pPr>
        <w:spacing w:after="160" w:line="276"/>
        <w:jc w:val="both"/>
      </w:pPr>
      <w:r>
        <w:rPr>
          <w:sz w:val="24"/>
          <w:szCs w:val="24"/>
        </w:rPr>
        <w:t xml:space="preserve">The methodology combines applied research with incremental development, guided by Action Research, enabling continuous learning from practical interactions with clients and hypothesis validation in real scenarios.</w:t>
      </w:r>
    </w:p>
    <w:p>
      <w:pPr>
        <w:pStyle w:val="Heading2"/>
        <w:spacing w:after="120" w:before="200"/>
      </w:pPr>
      <w:r>
        <w:rPr>
          <w:b/>
          <w:bCs/>
          <w:sz w:val="26"/>
          <w:szCs w:val="26"/>
        </w:rPr>
        <w:t xml:space="preserve">2.1 Action Research Methodology</w:t>
      </w:r>
    </w:p>
    <w:p>
      <w:pPr>
        <w:spacing w:after="160" w:line="276"/>
        <w:jc w:val="both"/>
      </w:pPr>
      <w:r>
        <w:rPr>
          <w:sz w:val="24"/>
          <w:szCs w:val="24"/>
        </w:rPr>
        <w:t xml:space="preserve">Action Research focuses on solving real-world problems collaboratively with stakeholders, promoting continuous learning and adjustment. In this startup, it was used to identify client pain points, map NFS-e workflows, test technical solutions, and validate the feasibility of a scalable SaaS product.</w:t>
      </w:r>
    </w:p>
    <w:p>
      <w:pPr>
        <w:pStyle w:val="Heading2"/>
        <w:spacing w:after="120" w:before="200"/>
      </w:pPr>
      <w:r>
        <w:rPr>
          <w:b/>
          <w:bCs/>
          <w:sz w:val="26"/>
          <w:szCs w:val="26"/>
        </w:rPr>
        <w:t xml:space="preserve">2.2 Action Research Approach</w:t>
      </w:r>
    </w:p>
    <w:p>
      <w:pPr>
        <w:spacing w:after="160" w:line="276"/>
        <w:jc w:val="both"/>
      </w:pPr>
      <w:r>
        <w:rPr>
          <w:sz w:val="24"/>
          <w:szCs w:val="24"/>
        </w:rPr>
        <w:t xml:space="preserve">The Action Research cycle involved iterative steps of diagnosis, planning, implementation, evaluation, and reflection. Each project module — from business discovery to final product consolidation — corresponded to a sprint with hypotheses, experiments, and validations. This approach ensured that solutions were aligned with real market needs and allowed the technological architecture to be adjusted according to practical results.</w:t>
      </w:r>
    </w:p>
    <w:p>
      <w:pPr>
        <w:pStyle w:val="Heading1"/>
        <w:spacing w:after="160" w:before="280"/>
      </w:pPr>
      <w:r>
        <w:rPr>
          <w:b/>
          <w:bCs/>
          <w:sz w:val="30"/>
          <w:szCs w:val="30"/>
        </w:rPr>
        <w:t xml:space="preserve">3. PROJECT CONTEXT</w:t>
      </w:r>
    </w:p>
    <w:p>
      <w:pPr>
        <w:spacing w:after="160" w:line="276"/>
        <w:jc w:val="both"/>
      </w:pPr>
      <w:r>
        <w:rPr>
          <w:sz w:val="24"/>
          <w:szCs w:val="24"/>
        </w:rPr>
        <w:t xml:space="preserve">The project was structured into four main modules, focusing on NFS-e automation in the Brazilian international trade sector.</w:t>
      </w:r>
    </w:p>
    <w:p>
      <w:pPr>
        <w:pStyle w:val="Heading2"/>
        <w:spacing w:after="120" w:before="200"/>
      </w:pPr>
      <w:r>
        <w:rPr>
          <w:b/>
          <w:bCs/>
          <w:sz w:val="26"/>
          <w:szCs w:val="26"/>
        </w:rPr>
        <w:t xml:space="preserve">3.1 Startup Background</w:t>
      </w:r>
    </w:p>
    <w:p>
      <w:pPr>
        <w:spacing w:after="160" w:line="276"/>
        <w:jc w:val="both"/>
      </w:pPr>
      <w:r>
        <w:rPr>
          <w:sz w:val="24"/>
          <w:szCs w:val="24"/>
        </w:rPr>
        <w:t xml:space="preserve">The founding team brings entrepreneurial experience and a culture of continuous innovation inherited from the Clonex venture builder. Core values include resilience, pragmatism, validated learning, and collaboration with clients and partners. Initial operations target micro, small, and medium companies in international trade, leveraging pre-existing connections and addressing urgent market needs.</w:t>
      </w:r>
    </w:p>
    <w:p>
      <w:pPr>
        <w:pStyle w:val="Heading2"/>
        <w:spacing w:after="120" w:before="200"/>
      </w:pPr>
      <w:r>
        <w:rPr>
          <w:b/>
          <w:bCs/>
          <w:sz w:val="26"/>
          <w:szCs w:val="26"/>
        </w:rPr>
        <w:t xml:space="preserve">3.2 Market Context</w:t>
      </w:r>
    </w:p>
    <w:p>
      <w:pPr>
        <w:spacing w:after="160" w:line="276"/>
        <w:jc w:val="both"/>
      </w:pPr>
      <w:r>
        <w:rPr>
          <w:sz w:val="24"/>
          <w:szCs w:val="24"/>
        </w:rPr>
        <w:t xml:space="preserve">The fiscal automation market in Brazil—particularly related to the issuance and management of Electronic Service Invoices (NFS-e) within the foreign trade sector—is undergoing a structural and technological transformation. In 2024, the country registered approximately 28,800 exporting companies and 55,800 importing companies, reflecting the sector’s economic relevance and operational complexity (Sebrae, 2024). Additionally, the service sector accounted for 61.6% of newly established companies, mostly composed of micro and small enterprises that face significant challenges in fiscal compliance and document control.</w:t>
      </w:r>
    </w:p>
    <w:p>
      <w:pPr>
        <w:spacing w:after="160" w:line="276"/>
        <w:jc w:val="both"/>
      </w:pPr>
      <w:r>
        <w:rPr>
          <w:sz w:val="24"/>
          <w:szCs w:val="24"/>
        </w:rPr>
        <w:t xml:space="preserve">The issuance of NFS-e remains fragmented across more than 5,000 municipalities, of which only around 1,037 (19%) have adopted the new national standard (Fenacon, 2024). This heterogeneity of layouts, protocols, and local regulations increases system maintenance costs and compliance risks. Companies operating in multiple jurisdictions—such as those in foreign trade—face even greater complexity in handling diverse XML/RPS formats and digital certification requirements, making current manual processes slow, error-prone, and expensive in terms of fiscal operations.</w:t>
      </w:r>
    </w:p>
    <w:p>
      <w:pPr>
        <w:spacing w:after="160" w:line="276"/>
        <w:jc w:val="both"/>
      </w:pPr>
      <w:r>
        <w:rPr>
          <w:sz w:val="24"/>
          <w:szCs w:val="24"/>
        </w:rPr>
        <w:t xml:space="preserve">In this context, fiscal automation emerges as a driver of efficiency and competitiveness. The integration of ERPs with automated NFS-e issuance and validation platforms eliminates manual steps and significantly reduces operational errors and compliance costs. Technologies such as Artificial Intelligence (AI), Robotic Process Automation (RPA), and Machine Learning (ML) have been applied to interpret fiscal documents in multiple formats, extract data from PDFs and emails, and automatically insert them into accounting systems—reducing processing time by up to 85% (Fenacon, 2024; UiPath, 2023).</w:t>
      </w:r>
    </w:p>
    <w:p>
      <w:pPr>
        <w:spacing w:after="160" w:line="276"/>
        <w:jc w:val="both"/>
      </w:pPr>
      <w:r>
        <w:rPr>
          <w:sz w:val="24"/>
          <w:szCs w:val="24"/>
        </w:rPr>
        <w:t xml:space="preserve">With the implementation of Complementary Law No. 214/2024, which will make the national NFS-e standard mandatory from January 2026, the market is expected to consolidate around scalable and interoperable solutions. This regulatory milestone represents a strategic innovation window, enabling the emergence of unified SaaS platforms that combine issuance, validation, reconciliation, and fiscal analytics within a single ecosystem.</w:t>
      </w:r>
    </w:p>
    <w:p>
      <w:pPr>
        <w:spacing w:after="160" w:line="276"/>
        <w:jc w:val="both"/>
      </w:pPr>
      <w:r>
        <w:rPr>
          <w:sz w:val="24"/>
          <w:szCs w:val="24"/>
        </w:rPr>
        <w:t xml:space="preserve">Although the market already includes established players such as TecnoSpeed, Codemasters, eNotas, and NFe.io, there remain significant gaps in automation tailored to the foreign trade context—particularly regarding the management of invoices from multiple municipalities and integration with systems like Siscomex and DUIMP. Furthermore, there is a notable shortage of solutions that provide predictive fiscal intelligence, integrated analytical reporting, and simplified user interfaces designed for small and medium-sized enterprises.</w:t>
      </w:r>
    </w:p>
    <w:p>
      <w:pPr>
        <w:spacing w:after="160" w:line="276"/>
        <w:jc w:val="both"/>
      </w:pPr>
      <w:r>
        <w:rPr>
          <w:sz w:val="24"/>
          <w:szCs w:val="24"/>
        </w:rPr>
        <w:t xml:space="preserve">From a technological perspective, the adoption of cloud-native architectures, microservices, serverless computing, and event-driven architectures (EDA) is fundamental to ensuring scalability, resilience, and low latency in large-scale fiscal data processing. Complementarily, the application of Big Data and Business Intelligence (BI) enhances analytical capacity, enabling continuous monitoring of fiscal indicators and early detection of inconsistencies.</w:t>
      </w:r>
    </w:p>
    <w:p>
      <w:pPr>
        <w:spacing w:after="160" w:line="276"/>
        <w:jc w:val="both"/>
      </w:pPr>
      <w:r>
        <w:rPr>
          <w:sz w:val="24"/>
          <w:szCs w:val="24"/>
        </w:rPr>
        <w:t xml:space="preserve">Regulatory frameworks such as the General Data Protection Law (LGPD, Law No. 13.709/2018) and Bank Secrecy Law (Complementary Law No. 105/2001) impose strict requirements for data privacy and security. As a result, automated fiscal solutions must implement end-to-end encryption, granular access control, and continuous auditing. Compliance with these standards represents not only a legal obligation but also a competitive advantage in Brazil’s expanding digital fiscal ecosystem.</w:t>
      </w:r>
    </w:p>
    <w:p>
      <w:pPr>
        <w:spacing w:after="160" w:line="276"/>
        <w:jc w:val="both"/>
      </w:pPr>
      <w:r>
        <w:rPr>
          <w:sz w:val="24"/>
          <w:szCs w:val="24"/>
        </w:rPr>
        <w:t xml:space="preserve">In summary, the market context demonstrates a growing demand for automated, interoperable, and secure solutions capable of addressing new regulatory standards while reducing the operational burden caused by Brazil’s tax fragmentation. The convergence of digital transformation, regulatory reform, and automation technologies establishes a fertile ground for innovation and growth in the NFS-e automation market for international trade companies.</w:t>
      </w:r>
    </w:p>
    <w:p>
      <w:pPr>
        <w:pStyle w:val="Heading2"/>
        <w:spacing w:after="120" w:before="200"/>
      </w:pPr>
      <w:r>
        <w:rPr>
          <w:b/>
          <w:bCs/>
          <w:sz w:val="26"/>
          <w:szCs w:val="26"/>
        </w:rPr>
        <w:t xml:space="preserve">3.3 Business Model and Approach</w:t>
      </w:r>
    </w:p>
    <w:p>
      <w:pPr>
        <w:spacing w:after="160" w:line="276"/>
        <w:jc w:val="both"/>
      </w:pPr>
      <w:r>
        <w:rPr>
          <w:sz w:val="24"/>
          <w:szCs w:val="24"/>
        </w:rPr>
        <w:t xml:space="preserve">The startup applies the Service-First, Product-Next model, beginning with applied consultancy to identify pain points, map workflows, and co-create solutions. This phase generates immediate revenue, provides practical learning, and forms the foundation for a scalable SaaS product. The operating model is framed as Service as a Software (SaaSo): rather than selling a passive tool for the client to operate, Kavex embeds itself in the client’s operation and assumes responsibility for the outcome, treating the software boundary as porous and expanding it gradually as repeatable patterns are captured from the field and converted into reusable product components.</w:t>
      </w:r>
    </w:p>
    <w:p>
      <w:pPr>
        <w:pStyle w:val="Heading2"/>
        <w:spacing w:after="120" w:before="200"/>
      </w:pPr>
      <w:r>
        <w:rPr>
          <w:b/>
          <w:bCs/>
          <w:sz w:val="26"/>
          <w:szCs w:val="26"/>
        </w:rPr>
        <w:t xml:space="preserve">3.4 Technical Context</w:t>
      </w:r>
    </w:p>
    <w:p>
      <w:pPr>
        <w:spacing w:after="160" w:line="276"/>
        <w:jc w:val="both"/>
      </w:pPr>
      <w:r>
        <w:rPr>
          <w:sz w:val="24"/>
          <w:szCs w:val="24"/>
        </w:rPr>
        <w:t xml:space="preserve">Throughout the project, the technical architecture evolved in step with the maturity of the product. The early prototyping and MVP phases were built on a low-code orchestration layer (n8n), with Supabase as the database, storage, and authentication layer, AI-based extraction services for interpreting fiscal documents, and integration with the client’s ERP (Conexos) through the reproduction of internal endpoints, since the ERP does not expose a public API.</w:t>
      </w:r>
    </w:p>
    <w:p>
      <w:pPr>
        <w:spacing w:after="160" w:line="276"/>
        <w:jc w:val="both"/>
      </w:pPr>
      <w:r>
        <w:rPr>
          <w:sz w:val="24"/>
          <w:szCs w:val="24"/>
        </w:rPr>
        <w:t xml:space="preserve">In Module 4, this architecture was re-engineered into a cloud-native, multi-tenant platform on Amazon Web Services (AWS), designed for isolated and replicable operation across multiple clients. The current technical context involves:</w:t>
      </w:r>
    </w:p>
    <w:p>
      <w:pPr>
        <w:pStyle w:val="ListParagraph"/>
        <w:numPr>
          <w:ilvl w:val="0"/>
          <w:numId w:val="2"/>
        </w:numPr>
        <w:spacing w:after="60" w:line="276"/>
        <w:jc w:val="both"/>
      </w:pPr>
      <w:r>
        <w:rPr>
          <w:sz w:val="24"/>
          <w:szCs w:val="24"/>
        </w:rPr>
        <w:t xml:space="preserve">AWS Lambda: serverless compute, with each stage of the NFS-e pipeline (ingestion, normalization, persistence, validation, ERP integration, and status control) implemented as an independent function;</w:t>
      </w:r>
    </w:p>
    <w:p>
      <w:pPr>
        <w:pStyle w:val="ListParagraph"/>
        <w:numPr>
          <w:ilvl w:val="0"/>
          <w:numId w:val="2"/>
        </w:numPr>
        <w:spacing w:after="60" w:line="276"/>
        <w:jc w:val="both"/>
      </w:pPr>
      <w:r>
        <w:rPr>
          <w:sz w:val="24"/>
          <w:szCs w:val="24"/>
        </w:rPr>
        <w:t xml:space="preserve">PostgreSQL, Amazon DynamoDB, and Amazon S3: relational persistence, distributed state control (ensuring idempotency), and object storage of raw and normalized invoices;</w:t>
      </w:r>
    </w:p>
    <w:p>
      <w:pPr>
        <w:pStyle w:val="ListParagraph"/>
        <w:numPr>
          <w:ilvl w:val="0"/>
          <w:numId w:val="2"/>
        </w:numPr>
        <w:spacing w:after="60" w:line="276"/>
        <w:jc w:val="both"/>
      </w:pPr>
      <w:r>
        <w:rPr>
          <w:sz w:val="24"/>
          <w:szCs w:val="24"/>
        </w:rPr>
        <w:t xml:space="preserve">Amazon SQS and Amazon EventBridge: message queuing and scheduled triggering of the ingestion pipeline;</w:t>
      </w:r>
    </w:p>
    <w:p>
      <w:pPr>
        <w:pStyle w:val="ListParagraph"/>
        <w:numPr>
          <w:ilvl w:val="0"/>
          <w:numId w:val="2"/>
        </w:numPr>
        <w:spacing w:after="60" w:line="276"/>
        <w:jc w:val="both"/>
      </w:pPr>
      <w:r>
        <w:rPr>
          <w:sz w:val="24"/>
          <w:szCs w:val="24"/>
        </w:rPr>
        <w:t xml:space="preserve">AWS Systems Manager (SSM) Parameter Store: encrypted and auditable per-tenant configuration and credentials;</w:t>
      </w:r>
    </w:p>
    <w:p>
      <w:pPr>
        <w:pStyle w:val="ListParagraph"/>
        <w:numPr>
          <w:ilvl w:val="0"/>
          <w:numId w:val="2"/>
        </w:numPr>
        <w:spacing w:after="60" w:line="276"/>
        <w:jc w:val="both"/>
      </w:pPr>
      <w:r>
        <w:rPr>
          <w:sz w:val="24"/>
          <w:szCs w:val="24"/>
        </w:rPr>
        <w:t xml:space="preserve">Terraform: Infrastructure as Code (IaC) for reproducible and versioned provisioning of each tenant;</w:t>
      </w:r>
    </w:p>
    <w:p>
      <w:pPr>
        <w:pStyle w:val="ListParagraph"/>
        <w:numPr>
          <w:ilvl w:val="0"/>
          <w:numId w:val="2"/>
        </w:numPr>
        <w:spacing w:after="60" w:line="276"/>
        <w:jc w:val="both"/>
      </w:pPr>
      <w:r>
        <w:rPr>
          <w:sz w:val="24"/>
          <w:szCs w:val="24"/>
        </w:rPr>
        <w:t xml:space="preserve">Amazon CloudWatch: infrastructure observability, dashboards, and alerting;</w:t>
      </w:r>
    </w:p>
    <w:p>
      <w:pPr>
        <w:pStyle w:val="ListParagraph"/>
        <w:numPr>
          <w:ilvl w:val="0"/>
          <w:numId w:val="2"/>
        </w:numPr>
        <w:spacing w:after="60" w:line="276"/>
        <w:jc w:val="both"/>
      </w:pPr>
      <w:r>
        <w:rPr>
          <w:sz w:val="24"/>
          <w:szCs w:val="24"/>
        </w:rPr>
        <w:t xml:space="preserve">Node.js and TypeScript: application codebase, structured around well-established software design patterns to enable replication across clients without code duplication;</w:t>
      </w:r>
    </w:p>
    <w:p>
      <w:pPr>
        <w:pStyle w:val="ListParagraph"/>
        <w:numPr>
          <w:ilvl w:val="0"/>
          <w:numId w:val="2"/>
        </w:numPr>
        <w:spacing w:after="60" w:line="276"/>
        <w:jc w:val="both"/>
      </w:pPr>
      <w:r>
        <w:rPr>
          <w:sz w:val="24"/>
          <w:szCs w:val="24"/>
        </w:rPr>
        <w:t xml:space="preserve">Monitoring, structured logging, reconciliation routines, and manual fallback for risk mitigation.</w:t>
      </w:r>
    </w:p>
    <w:p>
      <w:pPr>
        <w:pStyle w:val="Heading2"/>
        <w:spacing w:after="120" w:before="200"/>
      </w:pPr>
      <w:r>
        <w:rPr>
          <w:b/>
          <w:bCs/>
          <w:sz w:val="26"/>
          <w:szCs w:val="26"/>
        </w:rPr>
        <w:t xml:space="preserve">3.5 Risks and Requirements</w:t>
      </w:r>
    </w:p>
    <w:p>
      <w:pPr>
        <w:spacing w:after="160" w:line="276"/>
        <w:jc w:val="both"/>
      </w:pPr>
      <w:r>
        <w:rPr>
          <w:sz w:val="24"/>
          <w:szCs w:val="24"/>
        </w:rPr>
        <w:t xml:space="preserve">Critical risks include ERP integration, validation and configuration accuracy, data security, dependence on external APIs, and the operational footprint of a high-touch service model. Functional requirements cover automatic capture, validation, normalization, secure storage, and ERP integration of NFS-e, alongside observability dashboards and reprocessing capabilities. Non-functional requirements include availability, scalability, security, observability, modularity, and tenant isolation.</w:t>
      </w:r>
    </w:p>
    <w:p>
      <w:pPr>
        <w:pStyle w:val="Heading1"/>
        <w:spacing w:after="160" w:before="280"/>
      </w:pPr>
      <w:r>
        <w:rPr>
          <w:b/>
          <w:bCs/>
          <w:sz w:val="30"/>
          <w:szCs w:val="30"/>
        </w:rPr>
        <w:t xml:space="preserve">4. MODULE ARTIFACTS</w:t>
      </w:r>
    </w:p>
    <w:p>
      <w:pPr>
        <w:spacing w:after="160" w:line="276"/>
        <w:jc w:val="both"/>
      </w:pPr>
      <w:r>
        <w:rPr>
          <w:sz w:val="24"/>
          <w:szCs w:val="24"/>
        </w:rPr>
        <w:t xml:space="preserve">Module 4 focused on the evolution of the solution validated in Module 3 from an operationally evidenced product-service, delivered to a single design partner, into a scalable, replicable, multi-tenant product prepared for the onboarding of multiple clients. While the previous module converted field learnings into measurable evidence, formalized the operational playbook, and structured the commercial thesis with market sizing and value-based pricing, this stage advanced the project toward productization of the architecture, observability of the environment, formalization of the product’s design language, and the structuring of a responsible commercial expansion strategy. The central thesis of the module is that growth must occur without a linear increase in operational effort: the same code base, the same operational playbook, and the same monitoring infrastructure must serve a growing client base, with what differs between one client and another reduced essentially to configuration. Throughout the module, technical, operational, and commercial dimensions were progressively tightened so that the project could answer the question left open at the end of Module 3 — whether a second client can be onboarded with quality equivalent to the first, using the documented playbook, without depending on the founders for every decision.</w:t>
      </w:r>
    </w:p>
    <w:p>
      <w:pPr>
        <w:spacing w:after="160" w:line="276"/>
        <w:jc w:val="both"/>
      </w:pPr>
      <w:r>
        <w:rPr>
          <w:sz w:val="24"/>
          <w:szCs w:val="24"/>
        </w:rPr>
        <w:t xml:space="preserve">By this stage, the operation had already moved beyond its original design partner: two anonymized client tenants — referred to as Trading Company A and Trading Company B — were running in the production environment, providing the first concrete validation that the operation can be replicated across clients through configuration rather than reconstruction.</w:t>
      </w:r>
    </w:p>
    <w:p>
      <w:pPr>
        <w:pStyle w:val="Heading2"/>
        <w:spacing w:after="120" w:before="200"/>
      </w:pPr>
      <w:r>
        <w:rPr>
          <w:b/>
          <w:bCs/>
          <w:sz w:val="26"/>
          <w:szCs w:val="26"/>
        </w:rPr>
        <w:t xml:space="preserve">Sprint 1 – Multi-Tenant Architecture and Design Patterns for Replication</w:t>
      </w:r>
    </w:p>
    <w:p>
      <w:pPr>
        <w:spacing w:after="160" w:line="276"/>
        <w:jc w:val="both"/>
      </w:pPr>
      <w:r>
        <w:rPr>
          <w:sz w:val="24"/>
          <w:szCs w:val="24"/>
        </w:rPr>
        <w:t xml:space="preserve">Sprint 1 consolidated the architectural foundation required to operate the solution for more than one client simultaneously, replacing the low-code orchestration of the previous modules with a purpose-built, cloud-native codebase on AWS. The objective of this sprint was to eliminate the central limitation identified in Module 3 — business rules hard-coded into the processing pipeline of a single client — by designing an architecture in which the same code base serves multiple tenants, and in which the difference between one client and another is expressed through configuration rather than through code.</w:t>
      </w:r>
    </w:p>
    <w:p>
      <w:pPr>
        <w:spacing w:after="160" w:line="276"/>
        <w:jc w:val="both"/>
      </w:pPr>
      <w:r>
        <w:rPr>
          <w:sz w:val="24"/>
          <w:szCs w:val="24"/>
        </w:rPr>
        <w:t xml:space="preserve">The multi-tenant architecture was organized around the principle of complete isolation per tenant combined with a single shared logic layer. Each client operates within an isolated AWS account, with its own compute functions, data stores, and credentials, so that the volume or the failures of one tenant cannot affect another. Isolation is enforced on three planes: execution, in which each tenant has its own serverless functions with dedicated permissions and concurrency limits; data, in which persistence and object storage are provisioned per tenant; and credentials, in which each tenant stores its access secrets independently in an encrypted and audited parameter store. The environments were organized into development, user acceptance testing, and production, ensuring that any change to the pipeline is validated against real data conditions before being promoted to the production environment where paying clients operate.</w:t>
      </w:r>
    </w:p>
    <w:p>
      <w:pPr>
        <w:spacing w:after="60" w:before="160"/>
        <w:jc w:val="center"/>
      </w:pPr>
      <w:r>
        <w:drawing>
          <wp:inline distT="0" distB="0" distL="0" distR="0">
            <wp:extent cx="5715000" cy="3352800"/>
            <wp:effectExtent t="0" r="0" b="0" l="0"/>
            <wp:docPr id="1" name="ArchDiagram" descr="Kavex NFS-e automation pipeline architecture diagram" title="Conceptual Multi-Tena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585C64"/>
          <w:sz w:val="20"/>
          <w:szCs w:val="20"/>
        </w:rPr>
        <w:t xml:space="preserve">Figure 1 – Conceptual multi-tenant architecture of the Kavex NFS-e automation pipeline (client tenants anonymized).</w:t>
      </w:r>
    </w:p>
    <w:p>
      <w:pPr>
        <w:spacing w:after="160" w:line="276"/>
        <w:jc w:val="both"/>
      </w:pPr>
      <w:r>
        <w:rPr>
          <w:sz w:val="24"/>
          <w:szCs w:val="24"/>
        </w:rPr>
        <w:t xml:space="preserve">The processing pipeline itself was implemented entirely with serverless functions, where each stage of the NFS-e workflow — capture, normalization, persistence, validation, ERP integration, and status control — corresponds to an independent function. This decomposition allows each stage to be scaled, reprocessed, and observed independently, and the serverless model was deliberately chosen over container-based alternatives because the pipeline is event-driven and idle between executions, which makes per-execution billing and stateless isolation a natural fit. The absence of persistent memory between executions, a known constraint of the serverless model, is compensated by an external state store that reinforces idempotency rather than creating a problem: a function that fails and is re-executed verifies the current state of the invoice before processing it, preventing duplicate records in the client’s ERP.</w:t>
      </w:r>
    </w:p>
    <w:p>
      <w:pPr>
        <w:spacing w:after="160" w:line="276"/>
        <w:jc w:val="both"/>
      </w:pPr>
      <w:r>
        <w:rPr>
          <w:sz w:val="24"/>
          <w:szCs w:val="24"/>
        </w:rPr>
        <w:t xml:space="preserve">To make this replication sustainable, the sprint documented a catalog of software design patterns that govern how the code base is structured. Among the most strategically relevant is the Strategy Pattern, which encapsulates the business rules that vary from one client to another and selects the correct algorithm at runtime based on the tenant’s configuration, allowing a new client to be supported by adding a new strategy rather than by modifying existing code. Complementarily, an Environment Provider Pattern centralizes per-tenant configuration and credentials with automatic caching, so that onboarding a new tenant reduces to creating its configuration entries and a provisioning file. The remaining patterns — covering infrastructure client reuse, dependency injection, parameterized data access, execution resilience with retry and fallback, data transformation between layers, and business orchestration — collectively ensure that the addition of a new tenant requires configuration, not reconstruction.</w:t>
      </w:r>
    </w:p>
    <w:p>
      <w:pPr>
        <w:spacing w:after="160" w:line="276"/>
        <w:jc w:val="both"/>
      </w:pPr>
      <w:r>
        <w:rPr>
          <w:sz w:val="24"/>
          <w:szCs w:val="24"/>
        </w:rPr>
        <w:t xml:space="preserve">Finally, the sprint formalized a technical onboarding playbook that translates this architecture into an executable, step-by-step process estimated at seven to ten business days, structured into six phases: information gathering, infrastructure provisioning through Infrastructure as Code, credential configuration, database and business-rule setup, validation and testing, and activation with formal handover from the Forward Deployed Engineer to the Customer Success Engineer. The playbook establishes objective completion criteria for each phase, including a mandatory validation threshold before activation and explicit approval of fiscal rules by the tax analyst, transforming what had been founder-dependent knowledge into a reproducible procedure. The sprint closed by explicitly documenting the limitations that remain — most notably that the shared observability layer is not yet provisioned and that part of the provisioning is still manual — framing them as the immediate agenda for the subsequent sprints.</w:t>
      </w:r>
    </w:p>
    <w:p>
      <w:pPr>
        <w:pStyle w:val="Heading2"/>
        <w:spacing w:after="120" w:before="200"/>
      </w:pPr>
      <w:r>
        <w:rPr>
          <w:b/>
          <w:bCs/>
          <w:sz w:val="26"/>
          <w:szCs w:val="26"/>
        </w:rPr>
        <w:t xml:space="preserve">Sprint 2 – Observability and Environment Health</w:t>
      </w:r>
    </w:p>
    <w:p>
      <w:pPr>
        <w:spacing w:after="160" w:line="276"/>
        <w:jc w:val="both"/>
      </w:pPr>
      <w:r>
        <w:rPr>
          <w:sz w:val="24"/>
          <w:szCs w:val="24"/>
        </w:rPr>
        <w:t xml:space="preserve">Sprint 2 addressed a requirement that is not merely technical but constitutive of the SaaSo business model: under a model in which the company assumes responsibility for the client’s operational outcome, a failure must be detected by the provider before it is perceived by the client. The objective of this sprint was to build the observability infrastructure that makes this promise operational, across two complementary layers — the business layer, concerned with the flow of invoices, and the infrastructure layer, concerned with the health of the services that execute that flow — and to codify the response to failure into an explicit operational runbook.</w:t>
      </w:r>
    </w:p>
    <w:p>
      <w:pPr>
        <w:spacing w:after="160" w:line="276"/>
        <w:jc w:val="both"/>
      </w:pPr>
      <w:r>
        <w:rPr>
          <w:sz w:val="24"/>
          <w:szCs w:val="24"/>
        </w:rPr>
        <w:t xml:space="preserve">The business-observability layer was delivered as a processing-monitoring page that centralizes all flow executions, regardless of type — standard processing, reprocessing, or bulk ingestion. The page is organized into two levels of visualization that complement each other. The macro level presents a quantitative summary of the selected period through top-line indicators — total executions, finalized flows, flows with pending notes, and flows in progress — followed by a table of individual executions with their identifiers, types, timestamps, invoice counts, results, and statuses. The micro level allows the operator to drill down into any individual execution and inspect a chronological timeline of the states through which each invoice passed, with precise timestamps for every transition and an expansion of the processing sub-steps — such as validating the supplier’s tax identifier, extracting the import process, resolving the product, and loading the document configuration — so that the exact point of failure is identified with business context attached to technical context. This granularity is what distinguishes an observability tool from a simple error log: the operator understands the narrative of a failure without searching through raw infrastructure logs.</w:t>
      </w:r>
    </w:p>
    <w:p>
      <w:pPr>
        <w:spacing w:after="160" w:line="276"/>
        <w:jc w:val="both"/>
      </w:pPr>
      <w:r>
        <w:rPr>
          <w:sz w:val="24"/>
          <w:szCs w:val="24"/>
        </w:rPr>
        <w:t xml:space="preserve">The infrastructure-observability layer was delivered as a monitoring dashboard provisioned as code, parameterized so that it is created automatically with the correct settings whenever a new client environment is provisioned, guaranteeing consistent monitoring from the first day of operation. The dashboard is structured into three sections: a health snapshot that answers, in seconds, whether the environment is healthy, with aggregated metrics of invocations, errors, concurrent executions, and an overall error rate; a per-function analysis that ranks individual functions by error volume, invocation volume, and average duration, enabling the identification of which specific component is degrading; and detailed per-function timelines that support trend analysis and the correlation of events. This dashboard is fed by structured logs that carry standardized fields — including timestamp, severity level, execution identifier, tenant identifier, function name, and processing step — which transform the logs from free text into a queryable source of diagnosis, and a set of predefined diagnostic queries was documented to triage recent errors, compute per-function error rates, isolate invoices stuck in reprocessing loops, and isolate problems by tenant.</w:t>
      </w:r>
    </w:p>
    <w:p>
      <w:pPr>
        <w:spacing w:after="160" w:line="276"/>
        <w:jc w:val="both"/>
      </w:pPr>
      <w:r>
        <w:rPr>
          <w:sz w:val="24"/>
          <w:szCs w:val="24"/>
        </w:rPr>
        <w:t xml:space="preserve">The two observability layers are bound together by an operational runbook that converts the team’s tacit knowledge into explicit, reproducible procedures. The runbook establishes a severity framework with defined response and resolution times, and documents the highest-frequency, highest-impact failure scenarios identified in real operation — including timeouts in the fiscal-data provider integration, ambiguities in document configuration, failures in bulk ingestion, recurring validation errors, and failures in the ERP integration caused by expiring authentication sessions. For each scenario, the runbook describes the symptom and how it is detected across both observability layers, the probable root cause, a step-by-step diagnostic procedure, immediate mitigation and definitive resolution actions, and escalation criteria. The runbook also formalizes a proactive client-communication protocol and a continuous-improvement discipline based on short post-mortems after every significant incident, ensuring that the response capability matures as the platform accumulates operational experience across multiple clients.</w:t>
      </w:r>
    </w:p>
    <w:p>
      <w:pPr>
        <w:pStyle w:val="Heading2"/>
        <w:spacing w:after="120" w:before="200"/>
      </w:pPr>
      <w:r>
        <w:rPr>
          <w:b/>
          <w:bCs/>
          <w:sz w:val="26"/>
          <w:szCs w:val="26"/>
        </w:rPr>
        <w:t xml:space="preserve">Sprint 3 – Design System and Commercial Expansion Strategy</w:t>
      </w:r>
    </w:p>
    <w:p>
      <w:pPr>
        <w:spacing w:after="160" w:line="276"/>
        <w:jc w:val="both"/>
      </w:pPr>
      <w:r>
        <w:rPr>
          <w:sz w:val="24"/>
          <w:szCs w:val="24"/>
        </w:rPr>
        <w:t xml:space="preserve">Sprint 3 advanced two complementary fronts that together prepare the product for replication: the formalization of the product’s visual and interaction language through a design system, and the structuring of a responsible commercial expansion strategy grounded in the learnings of the design partner. The objective was to resolve, preventively, the inconsistencies that accumulate when a product scales without a documented design language, and to define how the second and third clients will be acquired and onboarded without replicating the operational cost and founder dependency that characterized the first.</w:t>
      </w:r>
    </w:p>
    <w:p>
      <w:pPr>
        <w:spacing w:after="160" w:line="276"/>
        <w:jc w:val="both"/>
      </w:pPr>
      <w:r>
        <w:rPr>
          <w:sz w:val="24"/>
          <w:szCs w:val="24"/>
        </w:rPr>
        <w:t xml:space="preserve">The design system, named Kavex after the product with which financial operators and field engineers interact, was distilled from the observation of real use during the assisted-operation phase rather than defined in the abstract. It is governed by four principles — operational clarity, density without noise, immediate feedback, and confidence through the visual — that function as decision criteria for any new component or screen. The system formalizes the visual foundations of the product, including a brand color scale, a cold-neutral scale for structure and hierarchy, and a closed set of semantic status colors that preserve the operator’s ability to scan a table of hundreds of invoices and identify clusters of pending items at a glance. It defines a typographic distinction between an interface typeface for context and a monospaced typeface for fiscal data such as identifiers and monetary values, and it documents a consistent spacing, radius, and elevation scale. The components were specified for the recurring contexts of the platform — authentication, navigation, loading states with skeleton screens, summary indicator cards, and, most critically, the invoice table with batch selection, inline column filters, and detail popovers that preserve context during high-volume review. Because every component is built on brand variables rather than hard-coded values, the system enables white-label variations for clients who wish to incorporate the platform under their own identity without forking the code base — a capability directly relevant to the company’s higher-tier expansion model.</w:t>
      </w:r>
    </w:p>
    <w:p>
      <w:pPr>
        <w:spacing w:after="160" w:line="276"/>
        <w:jc w:val="both"/>
      </w:pPr>
      <w:r>
        <w:rPr>
          <w:sz w:val="24"/>
          <w:szCs w:val="24"/>
        </w:rPr>
        <w:t xml:space="preserve">The commercial expansion strategy translated the market thesis of Module 3 into an operational framework for acquiring new clients. It formalized an updated Ideal Customer Profile across three qualification dimensions — operational, technological, and organizational — specifying the minimum revenue and invoice volume that justify the engagement, the requirement of the target ERP as the client’s central fiscal system, and the organizational conditions of a dedicated financial counterpart and access to a financial decision-maker. A prospect-prioritization framework was defined, scoring each opportunity across volume, urgency of pain, access to a decision-maker, fit with the target ERP, and the source of the contact, so that the limited capacity of field engineering is directed toward the highest-conversion opportunities. The strategy differentiated the value proposition by sub-segment — framing the conversation with large traders around the leverage effect of operational savings on net margin, and the conversation with mid-sized companies around the concrete elimination of manual entry and the personalized return-on-investment calculation — and it consolidated a value-based pricing model with a setup fee and a monthly fee positioned as a fraction of the qualified value delivered, complemented by availability and processing service-level commitments. Finally, it established a deliberately conservative ninety-day commercial roadmap whose central objective is not to maximize the number of prospects approached but to close the second client with delivery quality sufficient to generate documented references, and it identified the acquisition channels appropriate to a conservative market that decides by trusted peer reference rather than by mass marketing.</w:t>
      </w:r>
    </w:p>
    <w:p>
      <w:pPr>
        <w:pStyle w:val="Heading2"/>
        <w:spacing w:after="120" w:before="200"/>
      </w:pPr>
      <w:r>
        <w:rPr>
          <w:b/>
          <w:bCs/>
          <w:sz w:val="26"/>
          <w:szCs w:val="26"/>
        </w:rPr>
        <w:t xml:space="preserve">Sprint 4 – Final Product Pitch</w:t>
      </w:r>
    </w:p>
    <w:p>
      <w:pPr>
        <w:spacing w:after="160" w:line="276"/>
        <w:jc w:val="both"/>
      </w:pPr>
      <w:r>
        <w:rPr>
          <w:sz w:val="24"/>
          <w:szCs w:val="24"/>
        </w:rPr>
        <w:t xml:space="preserve">Sprint 4 consolidated the technical, operational, and commercial advances of the module into the final pitch of the product, presenting the platform and the accumulated evidence as an integrated narrative rather than as a collection of isolated deliverables. The objective of this sprint was to articulate, for an external audience, how the productized architecture, the observability infrastructure, the design system, and the commercial strategy together substantiate the central thesis of the venture: that controlling the fiscal data of an international trade operation, and operating it as a managed service embedded in the client’s environment, is a lever of margin and governance rather than a compliance cost. The pitch positions the product as an embedded team of fiscal domain experts and engineers that builds intelligence layers over the client’s existing ERP, delivering an operational outcome — reconciled, gap-free fiscal closing with recovered margin — rather than a self-service tool. This presentation closes the module by demonstrating that the project has moved from “we know how we operate” to “we can replicate how we operate,” and it frames the conditions under which the company can evolve from a single design-partner relationship toward a multi-client operation governed by a validated product core.</w:t>
      </w:r>
    </w:p>
    <w:p>
      <w:pPr>
        <w:pStyle w:val="Heading2"/>
        <w:spacing w:after="120" w:before="200"/>
      </w:pPr>
      <w:r>
        <w:rPr>
          <w:b/>
          <w:bCs/>
          <w:sz w:val="26"/>
          <w:szCs w:val="26"/>
        </w:rPr>
        <w:t xml:space="preserve">Sprint 5 – Board Feedback Corrections</w:t>
      </w:r>
    </w:p>
    <w:p>
      <w:pPr>
        <w:spacing w:after="160" w:line="276"/>
        <w:jc w:val="both"/>
      </w:pPr>
      <w:r>
        <w:rPr>
          <w:sz w:val="24"/>
          <w:szCs w:val="24"/>
        </w:rPr>
        <w:t xml:space="preserve">Sprint 5 is dedicated to incorporating the corrections and observations raised by the evaluation board over the artifacts produced throughout the module. Consistent with the critical and reflective posture adopted in previous modules, this sprint prioritizes consolidation and correction over new development, converting the board’s feedback into effective edits to the original documents and ensuring that the deliverables of the module are internally consistent and defensible. The detailed record of the corrections applied will be documented in this sprint as it is completed, following the same discipline of honest revision applied at the close of Module 3, in which declared intentions were converted into concrete edits to the affected artifacts.</w:t>
      </w:r>
    </w:p>
    <w:p>
      <w:pPr>
        <w:pStyle w:val="Heading1"/>
        <w:spacing w:after="160" w:before="280"/>
      </w:pPr>
      <w:r>
        <w:rPr>
          <w:b/>
          <w:bCs/>
          <w:sz w:val="30"/>
          <w:szCs w:val="30"/>
        </w:rPr>
        <w:t xml:space="preserve">REFERENCES</w:t>
      </w:r>
    </w:p>
    <w:p>
      <w:pPr>
        <w:spacing w:after="140" w:line="276"/>
        <w:ind w:left="360" w:hanging="360"/>
        <w:jc w:val="both"/>
      </w:pPr>
      <w:r>
        <w:rPr>
          <w:sz w:val="24"/>
          <w:szCs w:val="24"/>
        </w:rPr>
        <w:t xml:space="preserve">Amazon Web Services. (2024). </w:t>
      </w:r>
      <w:r>
        <w:rPr>
          <w:i/>
          <w:iCs/>
          <w:sz w:val="24"/>
          <w:szCs w:val="24"/>
        </w:rPr>
        <w:t xml:space="preserve">AWS Lambda Developer Guide</w:t>
      </w:r>
      <w:r>
        <w:rPr>
          <w:sz w:val="24"/>
          <w:szCs w:val="24"/>
        </w:rPr>
        <w:t xml:space="preserve"> and </w:t>
      </w:r>
      <w:r>
        <w:rPr>
          <w:i/>
          <w:iCs/>
          <w:sz w:val="24"/>
          <w:szCs w:val="24"/>
        </w:rPr>
        <w:t xml:space="preserve">AWS Well-Architected Framework</w:t>
      </w:r>
      <w:r>
        <w:rPr>
          <w:sz w:val="24"/>
          <w:szCs w:val="24"/>
        </w:rPr>
        <w:t xml:space="preserve">. Retrieved from </w:t>
      </w:r>
      <w:hyperlink w:history="1" r:id="rIdjwm5n7q93basdk8gycaaz">
        <w:r>
          <w:rPr>
            <w:rStyle w:val="Hyperlink"/>
            <w:sz w:val="24"/>
            <w:szCs w:val="24"/>
          </w:rPr>
          <w:t xml:space="preserve">https://docs.aws.amazon.com</w:t>
        </w:r>
      </w:hyperlink>
    </w:p>
    <w:p>
      <w:pPr>
        <w:spacing w:after="140" w:line="276"/>
        <w:ind w:left="360" w:hanging="360"/>
        <w:jc w:val="both"/>
      </w:pPr>
      <w:r>
        <w:rPr>
          <w:sz w:val="24"/>
          <w:szCs w:val="24"/>
        </w:rPr>
        <w:t xml:space="preserve">Brazil. (2001). </w:t>
      </w:r>
      <w:r>
        <w:rPr>
          <w:i/>
          <w:iCs/>
          <w:sz w:val="24"/>
          <w:szCs w:val="24"/>
        </w:rPr>
        <w:t xml:space="preserve">Lei Complementar nº 105 – Dispõe sobre o sigilo das operações de instituições financeiras.</w:t>
      </w:r>
      <w:r>
        <w:rPr>
          <w:sz w:val="24"/>
          <w:szCs w:val="24"/>
        </w:rPr>
        <w:t xml:space="preserve"> Diário Oficial da União. Brasília, DF.</w:t>
      </w:r>
    </w:p>
    <w:p>
      <w:pPr>
        <w:spacing w:after="140" w:line="276"/>
        <w:ind w:left="360" w:hanging="360"/>
        <w:jc w:val="both"/>
      </w:pPr>
      <w:r>
        <w:rPr>
          <w:sz w:val="24"/>
          <w:szCs w:val="24"/>
        </w:rPr>
        <w:t xml:space="preserve">Brazil. (2018). </w:t>
      </w:r>
      <w:r>
        <w:rPr>
          <w:i/>
          <w:iCs/>
          <w:sz w:val="24"/>
          <w:szCs w:val="24"/>
        </w:rPr>
        <w:t xml:space="preserve">Lei nº 13.709 – Lei Geral de Proteção de Dados Pessoais (LGPD).</w:t>
      </w:r>
      <w:r>
        <w:rPr>
          <w:sz w:val="24"/>
          <w:szCs w:val="24"/>
        </w:rPr>
        <w:t xml:space="preserve"> Diário Oficial da União. Brasília, DF.</w:t>
      </w:r>
    </w:p>
    <w:p>
      <w:pPr>
        <w:spacing w:after="140" w:line="276"/>
        <w:ind w:left="360" w:hanging="360"/>
        <w:jc w:val="both"/>
      </w:pPr>
      <w:r>
        <w:rPr>
          <w:sz w:val="24"/>
          <w:szCs w:val="24"/>
        </w:rPr>
        <w:t xml:space="preserve">Brazil. (2024). </w:t>
      </w:r>
      <w:r>
        <w:rPr>
          <w:i/>
          <w:iCs/>
          <w:sz w:val="24"/>
          <w:szCs w:val="24"/>
        </w:rPr>
        <w:t xml:space="preserve">Lei Complementar nº 214 – Institui o padrão nacional da Nota Fiscal de Serviços eletrônica (NFS-e).</w:t>
      </w:r>
      <w:r>
        <w:rPr>
          <w:sz w:val="24"/>
          <w:szCs w:val="24"/>
        </w:rPr>
        <w:t xml:space="preserve"> Diário Oficial da União. Brasília, DF.</w:t>
      </w:r>
    </w:p>
    <w:p>
      <w:pPr>
        <w:spacing w:after="140" w:line="276"/>
        <w:ind w:left="360" w:hanging="360"/>
        <w:jc w:val="both"/>
      </w:pPr>
      <w:r>
        <w:rPr>
          <w:sz w:val="24"/>
          <w:szCs w:val="24"/>
        </w:rPr>
        <w:t xml:space="preserve">Codemasters. (2024). </w:t>
      </w:r>
      <w:r>
        <w:rPr>
          <w:i/>
          <w:iCs/>
          <w:sz w:val="24"/>
          <w:szCs w:val="24"/>
        </w:rPr>
        <w:t xml:space="preserve">Hiperautomação fiscal integrada à Receita Federal.</w:t>
      </w:r>
      <w:r>
        <w:rPr>
          <w:sz w:val="24"/>
          <w:szCs w:val="24"/>
        </w:rPr>
        <w:t xml:space="preserve"> Retrieved from </w:t>
      </w:r>
      <w:hyperlink w:history="1" r:id="rIdyhru-j-jlfwrrfpi5vrmy">
        <w:r>
          <w:rPr>
            <w:rStyle w:val="Hyperlink"/>
            <w:sz w:val="24"/>
            <w:szCs w:val="24"/>
          </w:rPr>
          <w:t xml:space="preserve">https://codemasters.com.br</w:t>
        </w:r>
      </w:hyperlink>
    </w:p>
    <w:p>
      <w:pPr>
        <w:spacing w:after="140" w:line="276"/>
        <w:ind w:left="360" w:hanging="360"/>
        <w:jc w:val="both"/>
      </w:pPr>
      <w:r>
        <w:rPr>
          <w:sz w:val="24"/>
          <w:szCs w:val="24"/>
        </w:rPr>
        <w:t xml:space="preserve">eNotas. (2024). </w:t>
      </w:r>
      <w:r>
        <w:rPr>
          <w:i/>
          <w:iCs/>
          <w:sz w:val="24"/>
          <w:szCs w:val="24"/>
        </w:rPr>
        <w:t xml:space="preserve">Automação de notas fiscais e integração com plataformas digitais.</w:t>
      </w:r>
      <w:r>
        <w:rPr>
          <w:sz w:val="24"/>
          <w:szCs w:val="24"/>
        </w:rPr>
        <w:t xml:space="preserve"> Retrieved from </w:t>
      </w:r>
      <w:hyperlink w:history="1" r:id="rIdbot-tzmcfaiplqq2pjj9p">
        <w:r>
          <w:rPr>
            <w:rStyle w:val="Hyperlink"/>
            <w:sz w:val="24"/>
            <w:szCs w:val="24"/>
          </w:rPr>
          <w:t xml:space="preserve">https://enotas.com.br</w:t>
        </w:r>
      </w:hyperlink>
    </w:p>
    <w:p>
      <w:pPr>
        <w:spacing w:after="140" w:line="276"/>
        <w:ind w:left="360" w:hanging="360"/>
        <w:jc w:val="both"/>
      </w:pPr>
      <w:r>
        <w:rPr>
          <w:sz w:val="24"/>
          <w:szCs w:val="24"/>
        </w:rPr>
        <w:t xml:space="preserve">Fenacon. (2024). </w:t>
      </w:r>
      <w:r>
        <w:rPr>
          <w:i/>
          <w:iCs/>
          <w:sz w:val="24"/>
          <w:szCs w:val="24"/>
        </w:rPr>
        <w:t xml:space="preserve">Emissão de Nota Fiscal de Serviços Eletrônica já atingiu 70% de adesão das capitais do país.</w:t>
      </w:r>
      <w:r>
        <w:rPr>
          <w:sz w:val="24"/>
          <w:szCs w:val="24"/>
        </w:rPr>
        <w:t xml:space="preserve"> Sistema Fenacon. Retrieved from </w:t>
      </w:r>
      <w:hyperlink w:history="1" r:id="rIdzh4hqmwf1loc5iky1wl2j">
        <w:r>
          <w:rPr>
            <w:rStyle w:val="Hyperlink"/>
            <w:sz w:val="24"/>
            <w:szCs w:val="24"/>
          </w:rPr>
          <w:t xml:space="preserve">https://fenacon.org.br</w:t>
        </w:r>
      </w:hyperlink>
    </w:p>
    <w:p>
      <w:pPr>
        <w:spacing w:after="140" w:line="276"/>
        <w:ind w:left="360" w:hanging="360"/>
        <w:jc w:val="both"/>
      </w:pPr>
      <w:r>
        <w:rPr>
          <w:sz w:val="24"/>
          <w:szCs w:val="24"/>
        </w:rPr>
        <w:t xml:space="preserve">Graham, P. (2013). </w:t>
      </w:r>
      <w:r>
        <w:rPr>
          <w:i/>
          <w:iCs/>
          <w:sz w:val="24"/>
          <w:szCs w:val="24"/>
        </w:rPr>
        <w:t xml:space="preserve">Do Things That Don’t Scale.</w:t>
      </w:r>
      <w:r>
        <w:rPr>
          <w:sz w:val="24"/>
          <w:szCs w:val="24"/>
        </w:rPr>
        <w:t xml:space="preserve"> Retrieved from </w:t>
      </w:r>
      <w:hyperlink w:history="1" r:id="rId0d56ouyjypvkzxe-3l5pl">
        <w:r>
          <w:rPr>
            <w:rStyle w:val="Hyperlink"/>
            <w:sz w:val="24"/>
            <w:szCs w:val="24"/>
          </w:rPr>
          <w:t xml:space="preserve">https://paulgraham.com/ds.html</w:t>
        </w:r>
      </w:hyperlink>
    </w:p>
    <w:p>
      <w:pPr>
        <w:spacing w:after="140" w:line="276"/>
        <w:ind w:left="360" w:hanging="360"/>
        <w:jc w:val="both"/>
      </w:pPr>
      <w:r>
        <w:rPr>
          <w:sz w:val="24"/>
          <w:szCs w:val="24"/>
        </w:rPr>
        <w:t xml:space="preserve">HashiCorp. (2024). </w:t>
      </w:r>
      <w:r>
        <w:rPr>
          <w:i/>
          <w:iCs/>
          <w:sz w:val="24"/>
          <w:szCs w:val="24"/>
        </w:rPr>
        <w:t xml:space="preserve">Terraform Documentation.</w:t>
      </w:r>
      <w:r>
        <w:rPr>
          <w:sz w:val="24"/>
          <w:szCs w:val="24"/>
        </w:rPr>
        <w:t xml:space="preserve"> Retrieved from </w:t>
      </w:r>
      <w:hyperlink w:history="1" r:id="rIdgd7e5sec6iesoulbvyi8p">
        <w:r>
          <w:rPr>
            <w:rStyle w:val="Hyperlink"/>
            <w:sz w:val="24"/>
            <w:szCs w:val="24"/>
          </w:rPr>
          <w:t xml:space="preserve">https://developer.hashicorp.com/terraform/docs</w:t>
        </w:r>
      </w:hyperlink>
    </w:p>
    <w:p>
      <w:pPr>
        <w:spacing w:after="140" w:line="276"/>
        <w:ind w:left="360" w:hanging="360"/>
        <w:jc w:val="both"/>
      </w:pPr>
      <w:r>
        <w:rPr>
          <w:sz w:val="24"/>
          <w:szCs w:val="24"/>
        </w:rPr>
        <w:t xml:space="preserve">MDIC – Ministério do Desenvolvimento, Indústria, Comércio e Serviços / Secex. (2024). </w:t>
      </w:r>
      <w:r>
        <w:rPr>
          <w:i/>
          <w:iCs/>
          <w:sz w:val="24"/>
          <w:szCs w:val="24"/>
        </w:rPr>
        <w:t xml:space="preserve">Estatísticas de Comércio Exterior.</w:t>
      </w:r>
      <w:r>
        <w:rPr>
          <w:sz w:val="24"/>
          <w:szCs w:val="24"/>
        </w:rPr>
        <w:t xml:space="preserve"> Retrieved from </w:t>
      </w:r>
      <w:hyperlink w:history="1" r:id="rId6cbjl8ny-e5rits90hhbu">
        <w:r>
          <w:rPr>
            <w:rStyle w:val="Hyperlink"/>
            <w:sz w:val="24"/>
            <w:szCs w:val="24"/>
          </w:rPr>
          <w:t xml:space="preserve">https://www.gov.br/mdic</w:t>
        </w:r>
      </w:hyperlink>
    </w:p>
    <w:p>
      <w:pPr>
        <w:spacing w:after="140" w:line="276"/>
        <w:ind w:left="360" w:hanging="360"/>
        <w:jc w:val="both"/>
      </w:pPr>
      <w:r>
        <w:rPr>
          <w:sz w:val="24"/>
          <w:szCs w:val="24"/>
        </w:rPr>
        <w:t xml:space="preserve">NFe.io. (2024). </w:t>
      </w:r>
      <w:r>
        <w:rPr>
          <w:i/>
          <w:iCs/>
          <w:sz w:val="24"/>
          <w:szCs w:val="24"/>
        </w:rPr>
        <w:t xml:space="preserve">API de emissão e gestão de notas fiscais de serviço.</w:t>
      </w:r>
      <w:r>
        <w:rPr>
          <w:sz w:val="24"/>
          <w:szCs w:val="24"/>
        </w:rPr>
        <w:t xml:space="preserve"> Retrieved from </w:t>
      </w:r>
      <w:hyperlink w:history="1" r:id="rId2des5xqkmcywxwb2nwb7-">
        <w:r>
          <w:rPr>
            <w:rStyle w:val="Hyperlink"/>
            <w:sz w:val="24"/>
            <w:szCs w:val="24"/>
          </w:rPr>
          <w:t xml:space="preserve">https://nfe.io</w:t>
        </w:r>
      </w:hyperlink>
    </w:p>
    <w:p>
      <w:pPr>
        <w:spacing w:after="140" w:line="276"/>
        <w:ind w:left="360" w:hanging="360"/>
        <w:jc w:val="both"/>
      </w:pPr>
      <w:r>
        <w:rPr>
          <w:sz w:val="24"/>
          <w:szCs w:val="24"/>
        </w:rPr>
        <w:t xml:space="preserve">Palantir Technologies. (2024). </w:t>
      </w:r>
      <w:r>
        <w:rPr>
          <w:i/>
          <w:iCs/>
          <w:sz w:val="24"/>
          <w:szCs w:val="24"/>
        </w:rPr>
        <w:t xml:space="preserve">Ontology: The Central Nervous System of the Enterprise.</w:t>
      </w:r>
      <w:r>
        <w:rPr>
          <w:sz w:val="24"/>
          <w:szCs w:val="24"/>
        </w:rPr>
        <w:t xml:space="preserve"> Retrieved from </w:t>
      </w:r>
      <w:hyperlink w:history="1" r:id="rId0g4fuw5jouxvkggy1on95">
        <w:r>
          <w:rPr>
            <w:rStyle w:val="Hyperlink"/>
            <w:sz w:val="24"/>
            <w:szCs w:val="24"/>
          </w:rPr>
          <w:t xml:space="preserve">https://palantir.com</w:t>
        </w:r>
      </w:hyperlink>
    </w:p>
    <w:p>
      <w:pPr>
        <w:spacing w:after="140" w:line="276"/>
        <w:ind w:left="360" w:hanging="360"/>
        <w:jc w:val="both"/>
      </w:pPr>
      <w:r>
        <w:rPr>
          <w:sz w:val="24"/>
          <w:szCs w:val="24"/>
        </w:rPr>
        <w:t xml:space="preserve">Sebrae. (2024). </w:t>
      </w:r>
      <w:r>
        <w:rPr>
          <w:i/>
          <w:iCs/>
          <w:sz w:val="24"/>
          <w:szCs w:val="24"/>
        </w:rPr>
        <w:t xml:space="preserve">Número de pequenos negócios exportadores mais que dobra em uma década.</w:t>
      </w:r>
      <w:r>
        <w:rPr>
          <w:sz w:val="24"/>
          <w:szCs w:val="24"/>
        </w:rPr>
        <w:t xml:space="preserve"> Agência Sebrae de Notícias. Retrieved from </w:t>
      </w:r>
      <w:hyperlink w:history="1" r:id="rIdk0tzczhpy5rv1qi2avwna">
        <w:r>
          <w:rPr>
            <w:rStyle w:val="Hyperlink"/>
            <w:sz w:val="24"/>
            <w:szCs w:val="24"/>
          </w:rPr>
          <w:t xml:space="preserve">https://agenciasebrae.com.br</w:t>
        </w:r>
      </w:hyperlink>
    </w:p>
    <w:p>
      <w:pPr>
        <w:spacing w:after="140" w:line="276"/>
        <w:ind w:left="360" w:hanging="360"/>
        <w:jc w:val="both"/>
      </w:pPr>
      <w:r>
        <w:rPr>
          <w:sz w:val="24"/>
          <w:szCs w:val="24"/>
        </w:rPr>
        <w:t xml:space="preserve">TecnoSpeed. (2024). </w:t>
      </w:r>
      <w:r>
        <w:rPr>
          <w:i/>
          <w:iCs/>
          <w:sz w:val="24"/>
          <w:szCs w:val="24"/>
        </w:rPr>
        <w:t xml:space="preserve">Soluções de automação fiscal e emissão de NFS-e em múltiplos municípios.</w:t>
      </w:r>
      <w:r>
        <w:rPr>
          <w:sz w:val="24"/>
          <w:szCs w:val="24"/>
        </w:rPr>
        <w:t xml:space="preserve"> Retrieved from </w:t>
      </w:r>
      <w:hyperlink w:history="1" r:id="rIdf5erg6zf5xtnjzu8cmdw7">
        <w:r>
          <w:rPr>
            <w:rStyle w:val="Hyperlink"/>
            <w:sz w:val="24"/>
            <w:szCs w:val="24"/>
          </w:rPr>
          <w:t xml:space="preserve">https://tecnospeed.com.br</w:t>
        </w:r>
      </w:hyperlink>
    </w:p>
    <w:p>
      <w:pPr>
        <w:spacing w:after="140" w:line="276"/>
        <w:ind w:left="360" w:hanging="360"/>
        <w:jc w:val="both"/>
      </w:pPr>
      <w:r>
        <w:rPr>
          <w:sz w:val="24"/>
          <w:szCs w:val="24"/>
        </w:rPr>
        <w:t xml:space="preserve">UiPath. (2023). </w:t>
      </w:r>
      <w:r>
        <w:rPr>
          <w:i/>
          <w:iCs/>
          <w:sz w:val="24"/>
          <w:szCs w:val="24"/>
        </w:rPr>
        <w:t xml:space="preserve">RPA in Financial Automation: Benchmark Report 2023.</w:t>
      </w:r>
      <w:r>
        <w:rPr>
          <w:sz w:val="24"/>
          <w:szCs w:val="24"/>
        </w:rPr>
        <w:t xml:space="preserve"> UiPath Research. Retrieved from </w:t>
      </w:r>
      <w:hyperlink w:history="1" r:id="rIddbkuah6bw1u-2ntsbrl6f">
        <w:r>
          <w:rPr>
            <w:rStyle w:val="Hyperlink"/>
            <w:sz w:val="24"/>
            <w:szCs w:val="24"/>
          </w:rPr>
          <w:t xml:space="preserve">https://www.uipath.com/resources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m5n7q93basdk8gycaaz" Type="http://schemas.openxmlformats.org/officeDocument/2006/relationships/hyperlink" Target="https://docs.aws.amazon.com" TargetMode="External"/><Relationship Id="rIdyhru-j-jlfwrrfpi5vrmy" Type="http://schemas.openxmlformats.org/officeDocument/2006/relationships/hyperlink" Target="https://codemasters.com.br" TargetMode="External"/><Relationship Id="rIdbot-tzmcfaiplqq2pjj9p" Type="http://schemas.openxmlformats.org/officeDocument/2006/relationships/hyperlink" Target="https://enotas.com.br" TargetMode="External"/><Relationship Id="rIdzh4hqmwf1loc5iky1wl2j" Type="http://schemas.openxmlformats.org/officeDocument/2006/relationships/hyperlink" Target="https://fenacon.org.br" TargetMode="External"/><Relationship Id="rId0d56ouyjypvkzxe-3l5pl" Type="http://schemas.openxmlformats.org/officeDocument/2006/relationships/hyperlink" Target="https://paulgraham.com/ds.html" TargetMode="External"/><Relationship Id="rIdgd7e5sec6iesoulbvyi8p" Type="http://schemas.openxmlformats.org/officeDocument/2006/relationships/hyperlink" Target="https://developer.hashicorp.com/terraform/docs" TargetMode="External"/><Relationship Id="rId6cbjl8ny-e5rits90hhbu" Type="http://schemas.openxmlformats.org/officeDocument/2006/relationships/hyperlink" Target="https://www.gov.br/mdic" TargetMode="External"/><Relationship Id="rId2des5xqkmcywxwb2nwb7-" Type="http://schemas.openxmlformats.org/officeDocument/2006/relationships/hyperlink" Target="https://nfe.io" TargetMode="External"/><Relationship Id="rId0g4fuw5jouxvkggy1on95" Type="http://schemas.openxmlformats.org/officeDocument/2006/relationships/hyperlink" Target="https://palantir.com" TargetMode="External"/><Relationship Id="rIdk0tzczhpy5rv1qi2avwna" Type="http://schemas.openxmlformats.org/officeDocument/2006/relationships/hyperlink" Target="https://agenciasebrae.com.br" TargetMode="External"/><Relationship Id="rIdf5erg6zf5xtnjzu8cmdw7" Type="http://schemas.openxmlformats.org/officeDocument/2006/relationships/hyperlink" Target="https://tecnospeed.com.br" TargetMode="External"/><Relationship Id="rIddbkuah6bw1u-2ntsbrl6f" Type="http://schemas.openxmlformats.org/officeDocument/2006/relationships/hyperlink" Target="https://www.uipath.com/resources" TargetMode="External"/><Relationship Id="rId7" Type="http://schemas.openxmlformats.org/officeDocument/2006/relationships/image" Target="media/ff4485059e7b44ebfbac301bc6ab66aa1068de6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2026-06-10T05:38:46.101Z</dcterms:created>
  <dcterms:modified xsi:type="dcterms:W3CDTF">2026-06-10T05:38:46.101Z</dcterms:modified>
</cp:coreProperties>
</file>

<file path=docProps/custom.xml><?xml version="1.0" encoding="utf-8"?>
<Properties xmlns="http://schemas.openxmlformats.org/officeDocument/2006/custom-properties" xmlns:vt="http://schemas.openxmlformats.org/officeDocument/2006/docPropsVTypes"/>
</file>