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aps/>
          <w:color w:val="4C5C63"/>
          <w:spacing w:val="20"/>
          <w:sz w:val="15"/>
          <w:szCs w:val="15"/>
        </w:rPr>
        <w:t xml:space="preserve">MEC ARTWORKS AI  ·  OUTREACH COPY  ·  25 AUGUST 2026</w:t>
      </w:r>
    </w:p>
    <w:p>
      <w:pPr>
        <w:spacing w:after="140"/>
      </w:pPr>
      <w:r>
        <w:rPr>
          <w:rFonts w:ascii="Georgia" w:cs="Georgia" w:eastAsia="Georgia" w:hAnsi="Georgia"/>
          <w:b/>
          <w:bCs/>
          <w:color w:val="10171A"/>
          <w:sz w:val="56"/>
          <w:szCs w:val="56"/>
        </w:rPr>
        <w:t xml:space="preserve">Concept to Yes</w:t>
      </w:r>
    </w:p>
    <w:p>
      <w:pPr>
        <w:pBdr>
          <w:bottom w:val="single" w:color="D6DCDE" w:sz="8" w:space="10"/>
        </w:pBdr>
        <w:spacing w:after="200"/>
      </w:pPr>
      <w:r>
        <w:rPr>
          <w:rFonts w:ascii="Georgia" w:cs="Georgia" w:eastAsia="Georgia" w:hAnsi="Georgia"/>
          <w:color w:val="4C5C63"/>
          <w:sz w:val="24"/>
          <w:szCs w:val="24"/>
        </w:rPr>
        <w:t xml:space="preserve">Test copy for three prospects, written against what the product actually does — which is not what our own master doc says it does.</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2340"/>
        <w:gridCol w:w="2340"/>
        <w:gridCol w:w="2340"/>
        <w:gridCol w:w="2340"/>
      </w:tblGrid>
      <w:tr>
        <w:trPr>
          <w:tblHeader/>
        </w:trPr>
        <w:tc>
          <w:tcPr>
            <w:tcW w:type="dxa" w:w="234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Channels</w:t>
            </w:r>
          </w:p>
        </w:tc>
        <w:tc>
          <w:tcPr>
            <w:tcW w:type="dxa" w:w="234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Sendable list</w:t>
            </w:r>
          </w:p>
        </w:tc>
        <w:tc>
          <w:tcPr>
            <w:tcW w:type="dxa" w:w="234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Frameworks</w:t>
            </w:r>
          </w:p>
        </w:tc>
        <w:tc>
          <w:tcPr>
            <w:tcW w:type="dxa" w:w="234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Status</w:t>
            </w:r>
          </w:p>
        </w:tc>
      </w:tr>
      <w:tr>
        <w:tc>
          <w:tcPr>
            <w:tcW w:type="dxa" w:w="2340"/>
            <w:tcMar>
              <w:top w:type="dxa" w:w="90"/>
              <w:left w:type="dxa" w:w="130"/>
              <w:bottom w:type="dxa" w:w="90"/>
              <w:right w:type="dxa" w:w="130"/>
            </w:tcMar>
          </w:tcPr>
          <w:p>
            <w:r>
              <w:rPr>
                <w:rFonts w:ascii="Calibri" w:cs="Calibri" w:eastAsia="Calibri" w:hAnsi="Calibri"/>
                <w:color w:val="10171A"/>
                <w:sz w:val="20"/>
                <w:szCs w:val="20"/>
              </w:rPr>
              <w:t xml:space="preserve">LinkedIn (Shahwaz) → Email (Haroon)</w:t>
            </w:r>
          </w:p>
        </w:tc>
        <w:tc>
          <w:tcPr>
            <w:tcW w:type="dxa" w:w="2340"/>
            <w:tcMar>
              <w:top w:type="dxa" w:w="90"/>
              <w:left w:type="dxa" w:w="130"/>
              <w:bottom w:type="dxa" w:w="90"/>
              <w:right w:type="dxa" w:w="130"/>
            </w:tcMar>
          </w:tcPr>
          <w:p>
            <w:r>
              <w:rPr>
                <w:rFonts w:ascii="Calibri" w:cs="Calibri" w:eastAsia="Calibri" w:hAnsi="Calibri"/>
                <w:color w:val="10171A"/>
                <w:sz w:val="20"/>
                <w:szCs w:val="20"/>
              </w:rPr>
              <w:t xml:space="preserve">42 KEEP rows</w:t>
            </w:r>
          </w:p>
        </w:tc>
        <w:tc>
          <w:tcPr>
            <w:tcW w:type="dxa" w:w="2340"/>
            <w:tcMar>
              <w:top w:type="dxa" w:w="90"/>
              <w:left w:type="dxa" w:w="130"/>
              <w:bottom w:type="dxa" w:w="90"/>
              <w:right w:type="dxa" w:w="130"/>
            </w:tcMar>
          </w:tcPr>
          <w:p>
            <w:r>
              <w:rPr>
                <w:rFonts w:ascii="Calibri" w:cs="Calibri" w:eastAsia="Calibri" w:hAnsi="Calibri"/>
                <w:color w:val="10171A"/>
                <w:sz w:val="20"/>
                <w:szCs w:val="20"/>
              </w:rPr>
              <w:t xml:space="preserve">House 4-block · BAB</w:t>
            </w:r>
          </w:p>
        </w:tc>
        <w:tc>
          <w:tcPr>
            <w:tcW w:type="dxa" w:w="2340"/>
            <w:tcMar>
              <w:top w:type="dxa" w:w="90"/>
              <w:left w:type="dxa" w:w="130"/>
              <w:bottom w:type="dxa" w:w="90"/>
              <w:right w:type="dxa" w:w="130"/>
            </w:tcMar>
          </w:tcPr>
          <w:p>
            <w:r>
              <w:rPr>
                <w:rFonts w:ascii="Calibri" w:cs="Calibri" w:eastAsia="Calibri" w:hAnsi="Calibri"/>
                <w:color w:val="10171A"/>
                <w:sz w:val="20"/>
                <w:szCs w:val="20"/>
              </w:rPr>
              <w:t xml:space="preserve">Touches 1–2 launch-ready</w:t>
            </w:r>
          </w:p>
        </w:tc>
      </w:tr>
    </w:tbl>
    <w:p>
      <w:pPr>
        <w:spacing w:after="120"/>
      </w:pPr>
    </w:p>
    <w:p>
      <w:pPr>
        <w:pStyle w:val="Heading1"/>
        <w:pBdr>
          <w:bottom w:val="single" w:color="10171A" w:sz="12" w:space="6"/>
        </w:pBdr>
        <w:spacing w:after="160" w:before="360"/>
      </w:pPr>
      <w:r>
        <w:rPr>
          <w:rFonts w:ascii="Georgia" w:cs="Georgia" w:eastAsia="Georgia" w:hAnsi="Georgia"/>
          <w:b/>
          <w:bCs/>
          <w:color w:val="10171A"/>
          <w:sz w:val="30"/>
          <w:szCs w:val="30"/>
        </w:rPr>
        <w:t xml:space="preserve">1.  What the product actually is</w:t>
      </w:r>
    </w:p>
    <w:p>
      <w:pPr>
        <w:spacing w:after="140" w:line="276"/>
      </w:pPr>
      <w:r>
        <w:rPr>
          <w:rFonts w:ascii="Calibri" w:cs="Calibri" w:eastAsia="Calibri" w:hAnsi="Calibri"/>
          <w:color w:val="10171A"/>
          <w:sz w:val="20"/>
          <w:szCs w:val="20"/>
        </w:rPr>
        <w:t xml:space="preserve">I could not reach the Triminage portfolio page from the drafting environment, so I read MEC’s own published pages about the tool instead. What they describe does not match §7 of the master doc.</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4680"/>
        <w:gridCol w:w="4680"/>
      </w:tblGrid>
      <w:tr>
        <w:trPr>
          <w:tblHeader/>
        </w:trPr>
        <w:tc>
          <w:tcPr>
            <w:tcW w:type="dxa" w:w="468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What CLAUDE.md §7 says</w:t>
            </w:r>
          </w:p>
        </w:tc>
        <w:tc>
          <w:tcPr>
            <w:tcW w:type="dxa" w:w="468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What AI Mosaic Studio does</w:t>
            </w:r>
          </w:p>
        </w:tc>
      </w:tr>
      <w:tr>
        <w:tc>
          <w:tcPr>
            <w:tcW w:type="dxa" w:w="4680"/>
            <w:tcMar>
              <w:top w:type="dxa" w:w="90"/>
              <w:left w:type="dxa" w:w="130"/>
              <w:bottom w:type="dxa" w:w="90"/>
              <w:right w:type="dxa" w:w="130"/>
            </w:tcMar>
          </w:tcPr>
          <w:p>
            <w:r>
              <w:rPr>
                <w:rFonts w:ascii="Calibri" w:cs="Calibri" w:eastAsia="Calibri" w:hAnsi="Calibri"/>
                <w:color w:val="4C5C63"/>
                <w:sz w:val="20"/>
                <w:szCs w:val="20"/>
              </w:rPr>
              <w:t xml:space="preserve">“User sets palette, pattern style, tile density and scale → renders mosaic visualisations in real time via canvas-based rendering.”  A parametric configurator: you move sliders, it redraws.</w:t>
            </w:r>
          </w:p>
        </w:tc>
        <w:tc>
          <w:tcPr>
            <w:tcW w:type="dxa" w:w="4680"/>
            <w:tcMar>
              <w:top w:type="dxa" w:w="90"/>
              <w:left w:type="dxa" w:w="130"/>
              <w:bottom w:type="dxa" w:w="90"/>
              <w:right w:type="dxa" w:w="130"/>
            </w:tcMar>
          </w:tcPr>
          <w:p>
            <w:r>
              <w:rPr>
                <w:rFonts w:ascii="Calibri" w:cs="Calibri" w:eastAsia="Calibri" w:hAnsi="Calibri"/>
                <w:color w:val="10171A"/>
                <w:sz w:val="20"/>
                <w:szCs w:val="20"/>
              </w:rPr>
              <w:t xml:space="preserve">IMAGINE FROM SCRATCH — describe a mosaic in everyday words; the AI generates an original concept from your colour, subject, mood and material. “You don’t need to draw. You don’t need CAD experience.”  CUSTOMIZE YOUR SPACE — upload a photo of the actual room, choose the surface, generate a preview of the mosaic in place.</w:t>
            </w:r>
          </w:p>
        </w:tc>
      </w:tr>
    </w:tbl>
    <w:p>
      <w:pPr>
        <w:spacing w:after="120"/>
      </w:pPr>
    </w:p>
    <w:tbl>
      <w:tblPr>
        <w:tblW w:type="dxa" w:w="9360"/>
        <w:tblBorders>
          <w:top w:val="none"/>
          <w:left w:val="single" w:color="A84C28" w:sz="18"/>
          <w:bottom w:val="none"/>
          <w:right w:val="none"/>
          <w:insideH w:val="none"/>
          <w:insideV w:val="none"/>
        </w:tblBorders>
      </w:tblPr>
      <w:tblGrid>
        <w:gridCol w:w="9360"/>
      </w:tblGrid>
      <w:tr>
        <w:tc>
          <w:tcPr>
            <w:tcW w:type="dxa" w:w="9360"/>
            <w:shd w:fill="FBEEE8" w:color="auto" w:val="clear"/>
            <w:tcMar>
              <w:top w:type="dxa" w:w="90"/>
              <w:left w:type="dxa" w:w="130"/>
              <w:bottom w:type="dxa" w:w="90"/>
              <w:right w:type="dxa" w:w="130"/>
            </w:tcMar>
          </w:tcPr>
          <w:p>
            <w:pPr>
              <w:spacing w:after="90"/>
            </w:pPr>
            <w:r>
              <w:rPr>
                <w:rFonts w:ascii="Consolas" w:cs="Consolas" w:eastAsia="Consolas" w:hAnsi="Consolas"/>
                <w:b/>
                <w:bCs/>
                <w:caps/>
                <w:color w:val="A84C28"/>
                <w:sz w:val="15"/>
                <w:szCs w:val="15"/>
              </w:rPr>
              <w:t xml:space="preserve">Why this matters</w:t>
            </w:r>
          </w:p>
          <w:p>
            <w:pPr>
              <w:spacing w:after="110"/>
            </w:pPr>
            <w:r>
              <w:rPr>
                <w:rFonts w:ascii="Calibri" w:cs="Calibri" w:eastAsia="Calibri" w:hAnsi="Calibri"/>
                <w:color w:val="10171A"/>
                <w:sz w:val="20"/>
                <w:szCs w:val="20"/>
              </w:rPr>
              <w:t xml:space="preserve">The copy drafted earlier pitched a slider-based configurator. It would have described the wrong product to a prospect who then clicked through and saw something else — the fastest way to lose a technical buyer’s trust.</w:t>
            </w:r>
          </w:p>
          <w:p>
            <w:pPr>
              <w:spacing w:after="0"/>
            </w:pPr>
            <w:r>
              <w:rPr>
                <w:rFonts w:ascii="Calibri" w:cs="Calibri" w:eastAsia="Calibri" w:hAnsi="Calibri"/>
                <w:b/>
                <w:bCs/>
                <w:color w:val="10171A"/>
                <w:sz w:val="20"/>
                <w:szCs w:val="20"/>
              </w:rPr>
              <w:t xml:space="preserve">Someone should reconcile §7 of the master doc against the live app.</w:t>
            </w:r>
            <w:r>
              <w:rPr>
                <w:rFonts w:ascii="Calibri" w:cs="Calibri" w:eastAsia="Calibri" w:hAnsi="Calibri"/>
                <w:color w:val="10171A"/>
                <w:sz w:val="20"/>
                <w:szCs w:val="20"/>
              </w:rPr>
              <w:t xml:space="preserve"> Either the product moved from canvas rendering to generative AI, or the doc recorded the build stack and not the user experience. Until that is settled, treat the copy below as authoritative and §7 as stale.</w:t>
            </w:r>
          </w:p>
        </w:tc>
      </w:tr>
    </w:tbl>
    <w:p>
      <w:pPr>
        <w:spacing w:after="140"/>
      </w:pPr>
    </w:p>
    <w:p>
      <w:pPr>
        <w:pStyle w:val="Heading2"/>
        <w:spacing w:after="120" w:before="280"/>
      </w:pPr>
      <w:r>
        <w:rPr>
          <w:rFonts w:ascii="Georgia" w:cs="Georgia" w:eastAsia="Georgia" w:hAnsi="Georgia"/>
          <w:b/>
          <w:bCs/>
          <w:color w:val="10171A"/>
          <w:sz w:val="24"/>
          <w:szCs w:val="24"/>
        </w:rPr>
        <w:t xml:space="preserve">The real pitch, in one line</w:t>
      </w:r>
    </w:p>
    <w:p>
      <w:pPr>
        <w:spacing w:after="140" w:line="276"/>
      </w:pPr>
      <w:r>
        <w:rPr>
          <w:rFonts w:ascii="Calibri" w:cs="Calibri" w:eastAsia="Calibri" w:hAnsi="Calibri"/>
          <w:color w:val="10171A"/>
          <w:sz w:val="20"/>
          <w:szCs w:val="20"/>
        </w:rPr>
        <w:t xml:space="preserve">A client describes what they want in ordinary language and sees it on a photograph of their own wall — before anyone quotes, samples or fabricates.</w:t>
      </w:r>
    </w:p>
    <w:p>
      <w:pPr>
        <w:spacing w:after="90" w:before="220"/>
      </w:pPr>
      <w:r>
        <w:rPr>
          <w:rFonts w:ascii="Consolas" w:cs="Consolas" w:eastAsia="Consolas" w:hAnsi="Consolas"/>
          <w:b/>
          <w:bCs/>
          <w:caps/>
          <w:color w:val="4C5C63"/>
          <w:spacing w:val="12"/>
          <w:sz w:val="15"/>
          <w:szCs w:val="15"/>
        </w:rPr>
        <w:t xml:space="preserve">Access terms — these are the CTA</w:t>
      </w:r>
    </w:p>
    <w:p>
      <w:pPr>
        <w:pStyle w:val="ListParagraph"/>
        <w:numPr>
          <w:ilvl w:val="0"/>
          <w:numId w:val="2"/>
        </w:numPr>
        <w:spacing w:after="90"/>
      </w:pPr>
      <w:r>
        <w:rPr>
          <w:rFonts w:ascii="Calibri" w:cs="Calibri" w:eastAsia="Calibri" w:hAnsi="Calibri"/>
          <w:color w:val="10171A"/>
          <w:sz w:val="20"/>
          <w:szCs w:val="20"/>
        </w:rPr>
        <w:t xml:space="preserve">Free. Five high-resolution previews.</w:t>
      </w:r>
    </w:p>
    <w:p>
      <w:pPr>
        <w:pStyle w:val="ListParagraph"/>
        <w:numPr>
          <w:ilvl w:val="0"/>
          <w:numId w:val="2"/>
        </w:numPr>
        <w:spacing w:after="90"/>
      </w:pPr>
      <w:r>
        <w:rPr>
          <w:rFonts w:ascii="Calibri" w:cs="Calibri" w:eastAsia="Calibri" w:hAnsi="Calibri"/>
          <w:color w:val="10171A"/>
          <w:sz w:val="20"/>
          <w:szCs w:val="20"/>
        </w:rPr>
        <w:t xml:space="preserve">Email verification only — a one-time code. No password to create, no subscription to manage.</w:t>
      </w:r>
    </w:p>
    <w:p>
      <w:pPr>
        <w:pStyle w:val="ListParagraph"/>
        <w:numPr>
          <w:ilvl w:val="0"/>
          <w:numId w:val="2"/>
        </w:numPr>
        <w:spacing w:after="90"/>
      </w:pPr>
      <w:r>
        <w:rPr>
          <w:rFonts w:ascii="Calibri" w:cs="Calibri" w:eastAsia="Calibri" w:hAnsi="Calibri"/>
          <w:color w:val="10171A"/>
          <w:sz w:val="20"/>
          <w:szCs w:val="20"/>
        </w:rPr>
        <w:t xml:space="preserve">Uploads accept JPEG, PNG and WebP up to 10 MB.</w:t>
      </w:r>
    </w:p>
    <w:p>
      <w:pPr>
        <w:spacing w:after="140" w:line="276"/>
      </w:pPr>
      <w:r>
        <w:rPr>
          <w:rFonts w:ascii="Calibri" w:cs="Calibri" w:eastAsia="Calibri" w:hAnsi="Calibri"/>
          <w:color w:val="10171A"/>
          <w:sz w:val="20"/>
          <w:szCs w:val="20"/>
        </w:rPr>
        <w:t xml:space="preserve">“No password, no subscription” is worth saying out loud. It removes the objection the reader forms while reading the sentence.</w:t>
      </w:r>
    </w:p>
    <w:p>
      <w:pPr>
        <w:pStyle w:val="Heading1"/>
        <w:pBdr>
          <w:bottom w:val="single" w:color="10171A" w:sz="12" w:space="6"/>
        </w:pBdr>
        <w:spacing w:after="160" w:before="360"/>
      </w:pPr>
      <w:r>
        <w:rPr>
          <w:rFonts w:ascii="Georgia" w:cs="Georgia" w:eastAsia="Georgia" w:hAnsi="Georgia"/>
          <w:b/>
          <w:bCs/>
          <w:color w:val="10171A"/>
          <w:sz w:val="30"/>
          <w:szCs w:val="30"/>
        </w:rPr>
        <w:t xml:space="preserve">2.  The problem nobody has raised yet</w:t>
      </w:r>
    </w:p>
    <w:p>
      <w:pPr>
        <w:spacing w:after="140" w:line="276"/>
      </w:pPr>
      <w:r>
        <w:rPr>
          <w:rFonts w:ascii="Calibri" w:cs="Calibri" w:eastAsia="Calibri" w:hAnsi="Calibri"/>
          <w:b/>
          <w:bCs/>
          <w:color w:val="10171A"/>
          <w:sz w:val="20"/>
          <w:szCs w:val="20"/>
        </w:rPr>
        <w:t xml:space="preserve">ai.mecartworks.com is MEC Artworks’ own lead-generation asset.</w:t>
      </w:r>
      <w:r>
        <w:rPr>
          <w:rFonts w:ascii="Calibri" w:cs="Calibri" w:eastAsia="Calibri" w:hAnsi="Calibri"/>
          <w:color w:val="10171A"/>
          <w:sz w:val="20"/>
          <w:szCs w:val="20"/>
        </w:rPr>
        <w:t xml:space="preserve"> It is their brand, it captures emails, and it feeds their custom mosaic business. MEC Artworks is a mosaic company — and §7.2 lists five of our prospects as direct MEC competitors: New Ravenna, Artistic Tile, Aqua Blu Mosaics, Hakatai, Blue Water Pool Mosaics.</w:t>
      </w:r>
    </w:p>
    <w:tbl>
      <w:tblPr>
        <w:tblW w:type="dxa" w:w="9360"/>
        <w:tblBorders>
          <w:top w:val="none"/>
          <w:left w:val="single" w:color="A84C28" w:sz="18"/>
          <w:bottom w:val="none"/>
          <w:right w:val="none"/>
          <w:insideH w:val="none"/>
          <w:insideV w:val="none"/>
        </w:tblBorders>
      </w:tblPr>
      <w:tblGrid>
        <w:gridCol w:w="9360"/>
      </w:tblGrid>
      <w:tr>
        <w:tc>
          <w:tcPr>
            <w:tcW w:type="dxa" w:w="9360"/>
            <w:shd w:fill="FBEEE8" w:color="auto" w:val="clear"/>
            <w:tcMar>
              <w:top w:type="dxa" w:w="90"/>
              <w:left w:type="dxa" w:w="130"/>
              <w:bottom w:type="dxa" w:w="90"/>
              <w:right w:type="dxa" w:w="130"/>
            </w:tcMar>
          </w:tcPr>
          <w:p>
            <w:pPr>
              <w:spacing w:after="90"/>
            </w:pPr>
            <w:r>
              <w:rPr>
                <w:rFonts w:ascii="Consolas" w:cs="Consolas" w:eastAsia="Consolas" w:hAnsi="Consolas"/>
                <w:b/>
                <w:bCs/>
                <w:caps/>
                <w:color w:val="A84C28"/>
                <w:sz w:val="15"/>
                <w:szCs w:val="15"/>
              </w:rPr>
              <w:t xml:space="preserve">Open question for Abdullah — new</w:t>
            </w:r>
          </w:p>
          <w:p>
            <w:pPr>
              <w:spacing w:after="110"/>
            </w:pPr>
            <w:r>
              <w:rPr>
                <w:rFonts w:ascii="Calibri" w:cs="Calibri" w:eastAsia="Calibri" w:hAnsi="Calibri"/>
                <w:color w:val="10171A"/>
                <w:sz w:val="20"/>
                <w:szCs w:val="20"/>
              </w:rPr>
              <w:t xml:space="preserve">Abdullah dropped the competitor concern, but that answer was about whether we may target MEC’s competitors. This is the opposite direction: are we comfortable sending a rival mosaic firm to a competitor’s branded, email-gated tool and asking them to register?</w:t>
            </w:r>
          </w:p>
          <w:p>
            <w:pPr>
              <w:spacing w:after="0"/>
            </w:pPr>
            <w:r>
              <w:rPr>
                <w:rFonts w:ascii="Calibri" w:cs="Calibri" w:eastAsia="Calibri" w:hAnsi="Calibri"/>
                <w:color w:val="10171A"/>
                <w:sz w:val="20"/>
                <w:szCs w:val="20"/>
              </w:rPr>
              <w:t xml:space="preserve">They will recognise MEC within seconds. Handled badly it reads as careless. Handled deliberately it is a strong pitch — “a mosaic house your size built this; we built it for them” — but it has to be a choice, not an accident.</w:t>
            </w:r>
          </w:p>
        </w:tc>
      </w:tr>
    </w:tbl>
    <w:p>
      <w:pPr>
        <w:spacing w:after="140"/>
      </w:pPr>
    </w:p>
    <w:p>
      <w:pPr>
        <w:pStyle w:val="Heading2"/>
        <w:spacing w:after="120" w:before="280"/>
      </w:pPr>
      <w:r>
        <w:rPr>
          <w:rFonts w:ascii="Georgia" w:cs="Georgia" w:eastAsia="Georgia" w:hAnsi="Georgia"/>
          <w:b/>
          <w:bCs/>
          <w:color w:val="10171A"/>
          <w:sz w:val="24"/>
          <w:szCs w:val="24"/>
        </w:rPr>
        <w:t xml:space="preserve">How the copy below handles it</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2400"/>
        <w:gridCol w:w="2000"/>
        <w:gridCol w:w="4960"/>
      </w:tblGrid>
      <w:tr>
        <w:trPr>
          <w:tblHeader/>
        </w:trPr>
        <w:tc>
          <w:tcPr>
            <w:tcW w:type="dxa" w:w="24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Segment</w:t>
            </w:r>
          </w:p>
        </w:tc>
        <w:tc>
          <w:tcPr>
            <w:tcW w:type="dxa" w:w="20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MEC competitor?</w:t>
            </w:r>
          </w:p>
        </w:tc>
        <w:tc>
          <w:tcPr>
            <w:tcW w:type="dxa" w:w="49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CTA used</w:t>
            </w:r>
          </w:p>
        </w:tc>
      </w:tr>
      <w:tr>
        <w:tc>
          <w:tcPr>
            <w:tcW w:type="dxa" w:w="2400"/>
            <w:tcMar>
              <w:top w:type="dxa" w:w="90"/>
              <w:left w:type="dxa" w:w="130"/>
              <w:bottom w:type="dxa" w:w="90"/>
              <w:right w:type="dxa" w:w="130"/>
            </w:tcMar>
          </w:tcPr>
          <w:p>
            <w:r>
              <w:rPr>
                <w:rFonts w:ascii="Calibri" w:cs="Calibri" w:eastAsia="Calibri" w:hAnsi="Calibri"/>
                <w:color w:val="10171A"/>
                <w:sz w:val="20"/>
                <w:szCs w:val="20"/>
              </w:rPr>
              <w:t xml:space="preserve">Mosaic / pool / artisan tile</w:t>
            </w:r>
          </w:p>
        </w:tc>
        <w:tc>
          <w:tcPr>
            <w:tcW w:type="dxa" w:w="2000"/>
            <w:tcMar>
              <w:top w:type="dxa" w:w="90"/>
              <w:left w:type="dxa" w:w="130"/>
              <w:bottom w:type="dxa" w:w="90"/>
              <w:right w:type="dxa" w:w="130"/>
            </w:tcMar>
          </w:tcPr>
          <w:p>
            <w:r>
              <w:rPr>
                <w:rFonts w:ascii="Calibri" w:cs="Calibri" w:eastAsia="Calibri" w:hAnsi="Calibri"/>
                <w:b/>
                <w:bCs/>
                <w:color w:val="A84C28"/>
                <w:sz w:val="20"/>
                <w:szCs w:val="20"/>
              </w:rPr>
              <w:t xml:space="preserve">Yes — direct</w:t>
            </w:r>
          </w:p>
        </w:tc>
        <w:tc>
          <w:tcPr>
            <w:tcW w:type="dxa" w:w="4960"/>
            <w:tcMar>
              <w:top w:type="dxa" w:w="90"/>
              <w:left w:type="dxa" w:w="130"/>
              <w:bottom w:type="dxa" w:w="90"/>
              <w:right w:type="dxa" w:w="130"/>
            </w:tcMar>
          </w:tcPr>
          <w:p>
            <w:r>
              <w:rPr>
                <w:rFonts w:ascii="Calibri" w:cs="Calibri" w:eastAsia="Calibri" w:hAnsi="Calibri"/>
                <w:color w:val="10171A"/>
                <w:sz w:val="20"/>
                <w:szCs w:val="20"/>
              </w:rPr>
              <w:t xml:space="preserve">No raw link. Offer a walkthrough. Name MEC openly as our client rather than letting them discover it</w:t>
            </w:r>
          </w:p>
        </w:tc>
      </w:tr>
      <w:tr>
        <w:tc>
          <w:tcPr>
            <w:tcW w:type="dxa" w:w="2400"/>
            <w:tcMar>
              <w:top w:type="dxa" w:w="90"/>
              <w:left w:type="dxa" w:w="130"/>
              <w:bottom w:type="dxa" w:w="90"/>
              <w:right w:type="dxa" w:w="130"/>
            </w:tcMar>
          </w:tcPr>
          <w:p>
            <w:r>
              <w:rPr>
                <w:rFonts w:ascii="Calibri" w:cs="Calibri" w:eastAsia="Calibri" w:hAnsi="Calibri"/>
                <w:color w:val="10171A"/>
                <w:sz w:val="20"/>
                <w:szCs w:val="20"/>
              </w:rPr>
              <w:t xml:space="preserve">Murals &amp; wallcoverings</w:t>
            </w:r>
          </w:p>
        </w:tc>
        <w:tc>
          <w:tcPr>
            <w:tcW w:type="dxa" w:w="2000"/>
            <w:tcMar>
              <w:top w:type="dxa" w:w="90"/>
              <w:left w:type="dxa" w:w="130"/>
              <w:bottom w:type="dxa" w:w="90"/>
              <w:right w:type="dxa" w:w="130"/>
            </w:tcMar>
          </w:tcPr>
          <w:p>
            <w:r>
              <w:rPr>
                <w:rFonts w:ascii="Calibri" w:cs="Calibri" w:eastAsia="Calibri" w:hAnsi="Calibri"/>
                <w:color w:val="10171A"/>
                <w:sz w:val="20"/>
                <w:szCs w:val="20"/>
              </w:rPr>
              <w:t xml:space="preserve">No — different product</w:t>
            </w:r>
          </w:p>
        </w:tc>
        <w:tc>
          <w:tcPr>
            <w:tcW w:type="dxa" w:w="4960"/>
            <w:tcMar>
              <w:top w:type="dxa" w:w="90"/>
              <w:left w:type="dxa" w:w="130"/>
              <w:bottom w:type="dxa" w:w="90"/>
              <w:right w:type="dxa" w:w="130"/>
            </w:tcMar>
          </w:tcPr>
          <w:p>
            <w:r>
              <w:rPr>
                <w:rFonts w:ascii="Calibri" w:cs="Calibri" w:eastAsia="Calibri" w:hAnsi="Calibri"/>
                <w:color w:val="10171A"/>
                <w:sz w:val="20"/>
                <w:szCs w:val="20"/>
              </w:rPr>
              <w:t xml:space="preserve">Send the link. “Free, five previews, no signup wall”</w:t>
            </w:r>
          </w:p>
        </w:tc>
      </w:tr>
      <w:tr>
        <w:tc>
          <w:tcPr>
            <w:tcW w:type="dxa" w:w="2400"/>
            <w:tcMar>
              <w:top w:type="dxa" w:w="90"/>
              <w:left w:type="dxa" w:w="130"/>
              <w:bottom w:type="dxa" w:w="90"/>
              <w:right w:type="dxa" w:w="130"/>
            </w:tcMar>
          </w:tcPr>
          <w:p>
            <w:r>
              <w:rPr>
                <w:rFonts w:ascii="Calibri" w:cs="Calibri" w:eastAsia="Calibri" w:hAnsi="Calibri"/>
                <w:color w:val="10171A"/>
                <w:sz w:val="20"/>
                <w:szCs w:val="20"/>
              </w:rPr>
              <w:t xml:space="preserve">Ceramic tile (catalogue-led)</w:t>
            </w:r>
          </w:p>
        </w:tc>
        <w:tc>
          <w:tcPr>
            <w:tcW w:type="dxa" w:w="2000"/>
            <w:tcMar>
              <w:top w:type="dxa" w:w="90"/>
              <w:left w:type="dxa" w:w="130"/>
              <w:bottom w:type="dxa" w:w="90"/>
              <w:right w:type="dxa" w:w="130"/>
            </w:tcMar>
          </w:tcPr>
          <w:p>
            <w:r>
              <w:rPr>
                <w:rFonts w:ascii="Calibri" w:cs="Calibri" w:eastAsia="Calibri" w:hAnsi="Calibri"/>
                <w:color w:val="10171A"/>
                <w:sz w:val="20"/>
                <w:szCs w:val="20"/>
              </w:rPr>
              <w:t xml:space="preserve">Partly</w:t>
            </w:r>
          </w:p>
        </w:tc>
        <w:tc>
          <w:tcPr>
            <w:tcW w:type="dxa" w:w="4960"/>
            <w:tcMar>
              <w:top w:type="dxa" w:w="90"/>
              <w:left w:type="dxa" w:w="130"/>
              <w:bottom w:type="dxa" w:w="90"/>
              <w:right w:type="dxa" w:w="130"/>
            </w:tcMar>
          </w:tcPr>
          <w:p>
            <w:r>
              <w:rPr>
                <w:rFonts w:ascii="Calibri" w:cs="Calibri" w:eastAsia="Calibri" w:hAnsi="Calibri"/>
                <w:color w:val="10171A"/>
                <w:sz w:val="20"/>
                <w:szCs w:val="20"/>
              </w:rPr>
              <w:t xml:space="preserve">Judgement per row. Default to the walkthrough</w:t>
            </w:r>
          </w:p>
        </w:tc>
      </w:tr>
    </w:tbl>
    <w:p>
      <w:pPr>
        <w:spacing w:after="120"/>
      </w:pPr>
    </w:p>
    <w:p>
      <w:pPr>
        <w:pStyle w:val="Heading1"/>
        <w:pBdr>
          <w:bottom w:val="single" w:color="10171A" w:sz="12" w:space="6"/>
        </w:pBdr>
        <w:spacing w:after="160" w:before="360"/>
      </w:pPr>
      <w:r>
        <w:rPr>
          <w:rFonts w:ascii="Georgia" w:cs="Georgia" w:eastAsia="Georgia" w:hAnsi="Georgia"/>
          <w:b/>
          <w:bCs/>
          <w:color w:val="10171A"/>
          <w:sz w:val="30"/>
          <w:szCs w:val="30"/>
        </w:rPr>
        <w:t xml:space="preserve">3.  Which frameworks, and why</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2400"/>
        <w:gridCol w:w="1500"/>
        <w:gridCol w:w="5460"/>
      </w:tblGrid>
      <w:tr>
        <w:trPr>
          <w:tblHeader/>
        </w:trPr>
        <w:tc>
          <w:tcPr>
            <w:tcW w:type="dxa" w:w="24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Framework</w:t>
            </w:r>
          </w:p>
        </w:tc>
        <w:tc>
          <w:tcPr>
            <w:tcW w:type="dxa" w:w="15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Verdict</w:t>
            </w:r>
          </w:p>
        </w:tc>
        <w:tc>
          <w:tcPr>
            <w:tcW w:type="dxa" w:w="54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Reasoning</w:t>
            </w:r>
          </w:p>
        </w:tc>
      </w:tr>
      <w:tr>
        <w:tc>
          <w:tcPr>
            <w:tcW w:type="dxa" w:w="2400"/>
            <w:tcMar>
              <w:top w:type="dxa" w:w="90"/>
              <w:left w:type="dxa" w:w="130"/>
              <w:bottom w:type="dxa" w:w="90"/>
              <w:right w:type="dxa" w:w="130"/>
            </w:tcMar>
          </w:tcPr>
          <w:p>
            <w:r>
              <w:rPr>
                <w:rFonts w:ascii="Calibri" w:cs="Calibri" w:eastAsia="Calibri" w:hAnsi="Calibri"/>
                <w:b/>
                <w:bCs/>
                <w:color w:val="10171A"/>
                <w:sz w:val="20"/>
                <w:szCs w:val="20"/>
              </w:rPr>
              <w:t xml:space="preserve">House 4-block
Observation → Consequence → Proof → CTA</w:t>
            </w:r>
          </w:p>
        </w:tc>
        <w:tc>
          <w:tcPr>
            <w:tcW w:type="dxa" w:w="1500"/>
            <w:tcMar>
              <w:top w:type="dxa" w:w="90"/>
              <w:left w:type="dxa" w:w="130"/>
              <w:bottom w:type="dxa" w:w="90"/>
              <w:right w:type="dxa" w:w="130"/>
            </w:tcMar>
          </w:tcPr>
          <w:p>
            <w:r>
              <w:rPr>
                <w:rFonts w:ascii="Calibri" w:cs="Calibri" w:eastAsia="Calibri" w:hAnsi="Calibri"/>
                <w:b/>
                <w:bCs/>
                <w:color w:val="0D6E79"/>
                <w:sz w:val="20"/>
                <w:szCs w:val="20"/>
              </w:rPr>
              <w:t xml:space="preserve">VARIANT A</w:t>
            </w:r>
          </w:p>
        </w:tc>
        <w:tc>
          <w:tcPr>
            <w:tcW w:type="dxa" w:w="5460"/>
            <w:tcMar>
              <w:top w:type="dxa" w:w="90"/>
              <w:left w:type="dxa" w:w="130"/>
              <w:bottom w:type="dxa" w:w="90"/>
              <w:right w:type="dxa" w:w="130"/>
            </w:tcMar>
          </w:tcPr>
          <w:p>
            <w:r>
              <w:rPr>
                <w:rFonts w:ascii="Calibri" w:cs="Calibri" w:eastAsia="Calibri" w:hAnsi="Calibri"/>
                <w:color w:val="10171A"/>
                <w:sz w:val="20"/>
                <w:szCs w:val="20"/>
              </w:rPr>
              <w:t xml:space="preserve">Standing rule 13, and the designed fix for Campaign 2’s failure. Still unproven, so it has to be the primary</w:t>
            </w:r>
          </w:p>
        </w:tc>
      </w:tr>
      <w:tr>
        <w:tc>
          <w:tcPr>
            <w:tcW w:type="dxa" w:w="2400"/>
            <w:tcMar>
              <w:top w:type="dxa" w:w="90"/>
              <w:left w:type="dxa" w:w="130"/>
              <w:bottom w:type="dxa" w:w="90"/>
              <w:right w:type="dxa" w:w="130"/>
            </w:tcMar>
          </w:tcPr>
          <w:p>
            <w:r>
              <w:rPr>
                <w:rFonts w:ascii="Calibri" w:cs="Calibri" w:eastAsia="Calibri" w:hAnsi="Calibri"/>
                <w:b/>
                <w:bCs/>
                <w:color w:val="10171A"/>
                <w:sz w:val="20"/>
                <w:szCs w:val="20"/>
              </w:rPr>
              <w:t xml:space="preserve">BAB
Before → After → Bridge</w:t>
            </w:r>
          </w:p>
        </w:tc>
        <w:tc>
          <w:tcPr>
            <w:tcW w:type="dxa" w:w="1500"/>
            <w:tcMar>
              <w:top w:type="dxa" w:w="90"/>
              <w:left w:type="dxa" w:w="130"/>
              <w:bottom w:type="dxa" w:w="90"/>
              <w:right w:type="dxa" w:w="130"/>
            </w:tcMar>
          </w:tcPr>
          <w:p>
            <w:r>
              <w:rPr>
                <w:rFonts w:ascii="Calibri" w:cs="Calibri" w:eastAsia="Calibri" w:hAnsi="Calibri"/>
                <w:b/>
                <w:bCs/>
                <w:color w:val="0D6E79"/>
                <w:sz w:val="20"/>
                <w:szCs w:val="20"/>
              </w:rPr>
              <w:t xml:space="preserve">VARIANT B</w:t>
            </w:r>
          </w:p>
        </w:tc>
        <w:tc>
          <w:tcPr>
            <w:tcW w:type="dxa" w:w="5460"/>
            <w:tcMar>
              <w:top w:type="dxa" w:w="90"/>
              <w:left w:type="dxa" w:w="130"/>
              <w:bottom w:type="dxa" w:w="90"/>
              <w:right w:type="dxa" w:w="130"/>
            </w:tcMar>
          </w:tcPr>
          <w:p>
            <w:r>
              <w:rPr>
                <w:rFonts w:ascii="Calibri" w:cs="Calibri" w:eastAsia="Calibri" w:hAnsi="Calibri"/>
                <w:color w:val="10171A"/>
                <w:sz w:val="20"/>
                <w:szCs w:val="20"/>
              </w:rPr>
              <w:t xml:space="preserve">The only framework whose middle step is satisfied by a working link. “After” is a thing we can show instead of claim</w:t>
            </w:r>
          </w:p>
        </w:tc>
      </w:tr>
      <w:tr>
        <w:tc>
          <w:tcPr>
            <w:tcW w:type="dxa" w:w="2400"/>
            <w:tcMar>
              <w:top w:type="dxa" w:w="90"/>
              <w:left w:type="dxa" w:w="130"/>
              <w:bottom w:type="dxa" w:w="90"/>
              <w:right w:type="dxa" w:w="130"/>
            </w:tcMar>
          </w:tcPr>
          <w:p>
            <w:r>
              <w:rPr>
                <w:rFonts w:ascii="Calibri" w:cs="Calibri" w:eastAsia="Calibri" w:hAnsi="Calibri"/>
                <w:color w:val="10171A"/>
                <w:sz w:val="20"/>
                <w:szCs w:val="20"/>
              </w:rPr>
              <w:t xml:space="preserve">AIDA</w:t>
            </w:r>
          </w:p>
        </w:tc>
        <w:tc>
          <w:tcPr>
            <w:tcW w:type="dxa" w:w="1500"/>
            <w:tcMar>
              <w:top w:type="dxa" w:w="90"/>
              <w:left w:type="dxa" w:w="130"/>
              <w:bottom w:type="dxa" w:w="90"/>
              <w:right w:type="dxa" w:w="130"/>
            </w:tcMar>
          </w:tcPr>
          <w:p>
            <w:r>
              <w:rPr>
                <w:rFonts w:ascii="Calibri" w:cs="Calibri" w:eastAsia="Calibri" w:hAnsi="Calibri"/>
                <w:color w:val="A84C28"/>
                <w:sz w:val="20"/>
                <w:szCs w:val="20"/>
              </w:rPr>
              <w:t xml:space="preserve">Reject</w:t>
            </w:r>
          </w:p>
        </w:tc>
        <w:tc>
          <w:tcPr>
            <w:tcW w:type="dxa" w:w="5460"/>
            <w:tcMar>
              <w:top w:type="dxa" w:w="90"/>
              <w:left w:type="dxa" w:w="130"/>
              <w:bottom w:type="dxa" w:w="90"/>
              <w:right w:type="dxa" w:w="130"/>
            </w:tcMar>
          </w:tcPr>
          <w:p>
            <w:r>
              <w:rPr>
                <w:rFonts w:ascii="Calibri" w:cs="Calibri" w:eastAsia="Calibri" w:hAnsi="Calibri"/>
                <w:color w:val="10171A"/>
                <w:sz w:val="20"/>
                <w:szCs w:val="20"/>
              </w:rPr>
              <w:t xml:space="preserve">“Desire” needs a claim that makes them want it. MEC has no published performance figures — manufacturing desire means inventing proof</w:t>
            </w:r>
          </w:p>
        </w:tc>
      </w:tr>
      <w:tr>
        <w:tc>
          <w:tcPr>
            <w:tcW w:type="dxa" w:w="2400"/>
            <w:tcMar>
              <w:top w:type="dxa" w:w="90"/>
              <w:left w:type="dxa" w:w="130"/>
              <w:bottom w:type="dxa" w:w="90"/>
              <w:right w:type="dxa" w:w="130"/>
            </w:tcMar>
          </w:tcPr>
          <w:p>
            <w:r>
              <w:rPr>
                <w:rFonts w:ascii="Calibri" w:cs="Calibri" w:eastAsia="Calibri" w:hAnsi="Calibri"/>
                <w:color w:val="10171A"/>
                <w:sz w:val="20"/>
                <w:szCs w:val="20"/>
              </w:rPr>
              <w:t xml:space="preserve">PAS</w:t>
            </w:r>
          </w:p>
        </w:tc>
        <w:tc>
          <w:tcPr>
            <w:tcW w:type="dxa" w:w="1500"/>
            <w:tcMar>
              <w:top w:type="dxa" w:w="90"/>
              <w:left w:type="dxa" w:w="130"/>
              <w:bottom w:type="dxa" w:w="90"/>
              <w:right w:type="dxa" w:w="130"/>
            </w:tcMar>
          </w:tcPr>
          <w:p>
            <w:r>
              <w:rPr>
                <w:rFonts w:ascii="Calibri" w:cs="Calibri" w:eastAsia="Calibri" w:hAnsi="Calibri"/>
                <w:color w:val="A84C28"/>
                <w:sz w:val="20"/>
                <w:szCs w:val="20"/>
              </w:rPr>
              <w:t xml:space="preserve">Reject</w:t>
            </w:r>
          </w:p>
        </w:tc>
        <w:tc>
          <w:tcPr>
            <w:tcW w:type="dxa" w:w="5460"/>
            <w:tcMar>
              <w:top w:type="dxa" w:w="90"/>
              <w:left w:type="dxa" w:w="130"/>
              <w:bottom w:type="dxa" w:w="90"/>
              <w:right w:type="dxa" w:w="130"/>
            </w:tcMar>
          </w:tcPr>
          <w:p>
            <w:r>
              <w:rPr>
                <w:rFonts w:ascii="Calibri" w:cs="Calibri" w:eastAsia="Calibri" w:hAnsi="Calibri"/>
                <w:color w:val="10171A"/>
                <w:sz w:val="20"/>
                <w:szCs w:val="20"/>
              </w:rPr>
              <w:t xml:space="preserve">“Agitate” means telling a stranger their pain is worse than they think. We did that with Jubi and were wrong</w:t>
            </w:r>
          </w:p>
        </w:tc>
      </w:tr>
      <w:tr>
        <w:tc>
          <w:tcPr>
            <w:tcW w:type="dxa" w:w="2400"/>
            <w:tcMar>
              <w:top w:type="dxa" w:w="90"/>
              <w:left w:type="dxa" w:w="130"/>
              <w:bottom w:type="dxa" w:w="90"/>
              <w:right w:type="dxa" w:w="130"/>
            </w:tcMar>
          </w:tcPr>
          <w:p>
            <w:r>
              <w:rPr>
                <w:rFonts w:ascii="Calibri" w:cs="Calibri" w:eastAsia="Calibri" w:hAnsi="Calibri"/>
                <w:color w:val="10171A"/>
                <w:sz w:val="20"/>
                <w:szCs w:val="20"/>
              </w:rPr>
              <w:t xml:space="preserve">QVC · SPIN · sniper</w:t>
            </w:r>
          </w:p>
        </w:tc>
        <w:tc>
          <w:tcPr>
            <w:tcW w:type="dxa" w:w="1500"/>
            <w:tcMar>
              <w:top w:type="dxa" w:w="90"/>
              <w:left w:type="dxa" w:w="130"/>
              <w:bottom w:type="dxa" w:w="90"/>
              <w:right w:type="dxa" w:w="130"/>
            </w:tcMar>
          </w:tcPr>
          <w:p>
            <w:r>
              <w:rPr>
                <w:rFonts w:ascii="Calibri" w:cs="Calibri" w:eastAsia="Calibri" w:hAnsi="Calibri"/>
                <w:color w:val="4C5C63"/>
                <w:sz w:val="20"/>
                <w:szCs w:val="20"/>
              </w:rPr>
              <w:t xml:space="preserve">Hold</w:t>
            </w:r>
          </w:p>
        </w:tc>
        <w:tc>
          <w:tcPr>
            <w:tcW w:type="dxa" w:w="5460"/>
            <w:tcMar>
              <w:top w:type="dxa" w:w="90"/>
              <w:left w:type="dxa" w:w="130"/>
              <w:bottom w:type="dxa" w:w="90"/>
              <w:right w:type="dxa" w:w="130"/>
            </w:tcMar>
          </w:tcPr>
          <w:p>
            <w:r>
              <w:rPr>
                <w:rFonts w:ascii="Calibri" w:cs="Calibri" w:eastAsia="Calibri" w:hAnsi="Calibri"/>
                <w:color w:val="10171A"/>
                <w:sz w:val="20"/>
                <w:szCs w:val="20"/>
              </w:rPr>
              <w:t xml:space="preserve">A cold question invites “no”; SPIN needs dialogue; sniper is for the 200+ headcount rows</w:t>
            </w:r>
          </w:p>
        </w:tc>
      </w:tr>
    </w:tbl>
    <w:p>
      <w:pPr>
        <w:spacing w:after="120"/>
      </w:pPr>
    </w:p>
    <w:tbl>
      <w:tblPr>
        <w:tblW w:type="dxa" w:w="9360"/>
        <w:tblBorders>
          <w:top w:val="none"/>
          <w:left w:val="single" w:color="7E6120" w:sz="18"/>
          <w:bottom w:val="none"/>
          <w:right w:val="none"/>
          <w:insideH w:val="none"/>
          <w:insideV w:val="none"/>
        </w:tblBorders>
      </w:tblPr>
      <w:tblGrid>
        <w:gridCol w:w="9360"/>
      </w:tblGrid>
      <w:tr>
        <w:tc>
          <w:tcPr>
            <w:tcW w:type="dxa" w:w="9360"/>
            <w:shd w:fill="F6F1E2" w:color="auto" w:val="clear"/>
            <w:tcMar>
              <w:top w:type="dxa" w:w="90"/>
              <w:left w:type="dxa" w:w="130"/>
              <w:bottom w:type="dxa" w:w="90"/>
              <w:right w:type="dxa" w:w="130"/>
            </w:tcMar>
          </w:tcPr>
          <w:p>
            <w:pPr>
              <w:spacing w:after="90"/>
            </w:pPr>
            <w:r>
              <w:rPr>
                <w:rFonts w:ascii="Consolas" w:cs="Consolas" w:eastAsia="Consolas" w:hAnsi="Consolas"/>
                <w:b/>
                <w:bCs/>
                <w:caps/>
                <w:color w:val="7E6120"/>
                <w:sz w:val="15"/>
                <w:szCs w:val="15"/>
              </w:rPr>
              <w:t xml:space="preserve">Standing rule 13 needs a MEC carve-out</w:t>
            </w:r>
          </w:p>
          <w:p>
            <w:pPr>
              <w:spacing w:after="0"/>
            </w:pPr>
            <w:r>
              <w:rPr>
                <w:rFonts w:ascii="Calibri" w:cs="Calibri" w:eastAsia="Calibri" w:hAnsi="Calibri"/>
                <w:color w:val="10171A"/>
                <w:sz w:val="20"/>
                <w:szCs w:val="20"/>
              </w:rPr>
              <w:t xml:space="preserve">Rule 13 sets block 3 as “CureMD proof.” Correct for the healthcare campaigns. Wrong here — quoting 98% note accuracy from a medical-scribe build to a tile studio reads like a stock agency deck. </w:t>
            </w:r>
            <w:r>
              <w:rPr>
                <w:rFonts w:ascii="Calibri" w:cs="Calibri" w:eastAsia="Calibri" w:hAnsi="Calibri"/>
                <w:b/>
                <w:bCs/>
                <w:color w:val="10171A"/>
                <w:sz w:val="20"/>
                <w:szCs w:val="20"/>
              </w:rPr>
              <w:t xml:space="preserve">For MEC, block 3 is the tool itself.</w:t>
            </w:r>
          </w:p>
        </w:tc>
      </w:tr>
    </w:tbl>
    <w:p>
      <w:pPr>
        <w:spacing w:after="140"/>
      </w:pPr>
    </w:p>
    <w:p>
      <w:pPr>
        <w:pStyle w:val="Heading2"/>
        <w:spacing w:after="120" w:before="280"/>
      </w:pPr>
      <w:r>
        <w:rPr>
          <w:rFonts w:ascii="Georgia" w:cs="Georgia" w:eastAsia="Georgia" w:hAnsi="Georgia"/>
          <w:b/>
          <w:bCs/>
          <w:color w:val="10171A"/>
          <w:sz w:val="24"/>
          <w:szCs w:val="24"/>
        </w:rPr>
        <w:t xml:space="preserve">What we may and may not say</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4680"/>
        <w:gridCol w:w="4680"/>
      </w:tblGrid>
      <w:tr>
        <w:trPr>
          <w:tblHeader/>
        </w:trPr>
        <w:tc>
          <w:tcPr>
            <w:tcW w:type="dxa" w:w="468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Safe — publicly verifiable</w:t>
            </w:r>
          </w:p>
        </w:tc>
        <w:tc>
          <w:tcPr>
            <w:tcW w:type="dxa" w:w="468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Never</w:t>
            </w:r>
          </w:p>
        </w:tc>
      </w:tr>
      <w:tr>
        <w:tc>
          <w:tcPr>
            <w:tcW w:type="dxa" w:w="4680"/>
            <w:tcMar>
              <w:top w:type="dxa" w:w="90"/>
              <w:left w:type="dxa" w:w="130"/>
              <w:bottom w:type="dxa" w:w="90"/>
              <w:right w:type="dxa" w:w="130"/>
            </w:tcMar>
          </w:tcPr>
          <w:p>
            <w:r>
              <w:rPr>
                <w:rFonts w:ascii="Calibri" w:cs="Calibri" w:eastAsia="Calibri" w:hAnsi="Calibri"/>
                <w:color w:val="10171A"/>
                <w:sz w:val="20"/>
                <w:szCs w:val="20"/>
              </w:rPr>
              <w:t xml:space="preserve">Describe a mosaic in plain words, get an original concept</w:t>
            </w:r>
          </w:p>
        </w:tc>
        <w:tc>
          <w:tcPr>
            <w:tcW w:type="dxa" w:w="4680"/>
            <w:tcMar>
              <w:top w:type="dxa" w:w="90"/>
              <w:left w:type="dxa" w:w="130"/>
              <w:bottom w:type="dxa" w:w="90"/>
              <w:right w:type="dxa" w:w="130"/>
            </w:tcMar>
          </w:tcPr>
          <w:p>
            <w:r>
              <w:rPr>
                <w:rFonts w:ascii="Calibri" w:cs="Calibri" w:eastAsia="Calibri" w:hAnsi="Calibri"/>
                <w:color w:val="10171A"/>
                <w:sz w:val="20"/>
                <w:szCs w:val="20"/>
              </w:rPr>
              <w:t xml:space="preserve">Any percentage, hours saved, or conversion figure</w:t>
            </w:r>
          </w:p>
        </w:tc>
      </w:tr>
      <w:tr>
        <w:tc>
          <w:tcPr>
            <w:tcW w:type="dxa" w:w="4680"/>
            <w:tcMar>
              <w:top w:type="dxa" w:w="90"/>
              <w:left w:type="dxa" w:w="130"/>
              <w:bottom w:type="dxa" w:w="90"/>
              <w:right w:type="dxa" w:w="130"/>
            </w:tcMar>
          </w:tcPr>
          <w:p>
            <w:r>
              <w:rPr>
                <w:rFonts w:ascii="Calibri" w:cs="Calibri" w:eastAsia="Calibri" w:hAnsi="Calibri"/>
                <w:color w:val="10171A"/>
                <w:sz w:val="20"/>
                <w:szCs w:val="20"/>
              </w:rPr>
              <w:t xml:space="preserve">Upload a room photo, choose a surface, preview in place</w:t>
            </w:r>
          </w:p>
        </w:tc>
        <w:tc>
          <w:tcPr>
            <w:tcW w:type="dxa" w:w="4680"/>
            <w:tcMar>
              <w:top w:type="dxa" w:w="90"/>
              <w:left w:type="dxa" w:w="130"/>
              <w:bottom w:type="dxa" w:w="90"/>
              <w:right w:type="dxa" w:w="130"/>
            </w:tcMar>
          </w:tcPr>
          <w:p>
            <w:r>
              <w:rPr>
                <w:rFonts w:ascii="Calibri" w:cs="Calibri" w:eastAsia="Calibri" w:hAnsi="Calibri"/>
                <w:color w:val="10171A"/>
                <w:sz w:val="20"/>
                <w:szCs w:val="20"/>
              </w:rPr>
              <w:t xml:space="preserve">Any named MEC customer</w:t>
            </w:r>
          </w:p>
        </w:tc>
      </w:tr>
      <w:tr>
        <w:tc>
          <w:tcPr>
            <w:tcW w:type="dxa" w:w="4680"/>
            <w:tcMar>
              <w:top w:type="dxa" w:w="90"/>
              <w:left w:type="dxa" w:w="130"/>
              <w:bottom w:type="dxa" w:w="90"/>
              <w:right w:type="dxa" w:w="130"/>
            </w:tcMar>
          </w:tcPr>
          <w:p>
            <w:r>
              <w:rPr>
                <w:rFonts w:ascii="Calibri" w:cs="Calibri" w:eastAsia="Calibri" w:hAnsi="Calibri"/>
                <w:color w:val="10171A"/>
                <w:sz w:val="20"/>
                <w:szCs w:val="20"/>
              </w:rPr>
              <w:t xml:space="preserve">Five free previews · email code · no password or subscription</w:t>
            </w:r>
          </w:p>
        </w:tc>
        <w:tc>
          <w:tcPr>
            <w:tcW w:type="dxa" w:w="4680"/>
            <w:tcMar>
              <w:top w:type="dxa" w:w="90"/>
              <w:left w:type="dxa" w:w="130"/>
              <w:bottom w:type="dxa" w:w="90"/>
              <w:right w:type="dxa" w:w="130"/>
            </w:tcMar>
          </w:tcPr>
          <w:p>
            <w:r>
              <w:rPr>
                <w:rFonts w:ascii="Calibri" w:cs="Calibri" w:eastAsia="Calibri" w:hAnsi="Calibri"/>
                <w:color w:val="10171A"/>
                <w:sz w:val="20"/>
                <w:szCs w:val="20"/>
              </w:rPr>
              <w:t xml:space="preserve">CureMD’s figures — wrong client, wrong campaign</w:t>
            </w:r>
          </w:p>
        </w:tc>
      </w:tr>
      <w:tr>
        <w:tc>
          <w:tcPr>
            <w:tcW w:type="dxa" w:w="4680"/>
            <w:tcMar>
              <w:top w:type="dxa" w:w="90"/>
              <w:left w:type="dxa" w:w="130"/>
              <w:bottom w:type="dxa" w:w="90"/>
              <w:right w:type="dxa" w:w="130"/>
            </w:tcMar>
          </w:tcPr>
          <w:p>
            <w:r>
              <w:rPr>
                <w:rFonts w:ascii="Calibri" w:cs="Calibri" w:eastAsia="Calibri" w:hAnsi="Calibri"/>
                <w:color w:val="10171A"/>
                <w:sz w:val="20"/>
                <w:szCs w:val="20"/>
              </w:rPr>
              <w:t xml:space="preserve">Built by Triminage in 7 weeks with a team of 3 (per §0; not re-verified)</w:t>
            </w:r>
          </w:p>
        </w:tc>
        <w:tc>
          <w:tcPr>
            <w:tcW w:type="dxa" w:w="4680"/>
            <w:tcMar>
              <w:top w:type="dxa" w:w="90"/>
              <w:left w:type="dxa" w:w="130"/>
              <w:bottom w:type="dxa" w:w="90"/>
              <w:right w:type="dxa" w:w="130"/>
            </w:tcMar>
          </w:tcPr>
          <w:p>
            <w:r>
              <w:rPr>
                <w:rFonts w:ascii="Calibri" w:cs="Calibri" w:eastAsia="Calibri" w:hAnsi="Calibri"/>
                <w:color w:val="10171A"/>
                <w:sz w:val="20"/>
                <w:szCs w:val="20"/>
              </w:rPr>
              <w:t xml:space="preserve">That we know their internal process — we know their website</w:t>
            </w:r>
          </w:p>
        </w:tc>
      </w:tr>
    </w:tbl>
    <w:p>
      <w:pPr>
        <w:spacing w:after="120"/>
      </w:pPr>
    </w:p>
    <w:tbl>
      <w:tblPr>
        <w:tblW w:type="dxa" w:w="9360"/>
        <w:tblBorders>
          <w:top w:val="none"/>
          <w:left w:val="single" w:color="0D6E79" w:sz="18"/>
          <w:bottom w:val="none"/>
          <w:right w:val="none"/>
          <w:insideH w:val="none"/>
          <w:insideV w:val="none"/>
        </w:tblBorders>
      </w:tblPr>
      <w:tblGrid>
        <w:gridCol w:w="9360"/>
      </w:tblGrid>
      <w:tr>
        <w:tc>
          <w:tcPr>
            <w:tcW w:type="dxa" w:w="9360"/>
            <w:shd w:fill="F2F5F5" w:color="auto" w:val="clear"/>
            <w:tcMar>
              <w:top w:type="dxa" w:w="90"/>
              <w:left w:type="dxa" w:w="130"/>
              <w:bottom w:type="dxa" w:w="90"/>
              <w:right w:type="dxa" w:w="130"/>
            </w:tcMar>
          </w:tcPr>
          <w:p>
            <w:pPr>
              <w:spacing w:after="90"/>
            </w:pPr>
            <w:r>
              <w:rPr>
                <w:rFonts w:ascii="Consolas" w:cs="Consolas" w:eastAsia="Consolas" w:hAnsi="Consolas"/>
                <w:b/>
                <w:bCs/>
                <w:caps/>
                <w:color w:val="0D6E79"/>
                <w:sz w:val="15"/>
                <w:szCs w:val="15"/>
              </w:rPr>
              <w:t xml:space="preserve">The Jubi rule</w:t>
            </w:r>
          </w:p>
          <w:p>
            <w:pPr>
              <w:spacing w:after="0"/>
            </w:pPr>
            <w:r>
              <w:rPr>
                <w:rFonts w:ascii="Calibri" w:cs="Calibri" w:eastAsia="Calibri" w:hAnsi="Calibri"/>
                <w:color w:val="10171A"/>
                <w:sz w:val="20"/>
                <w:szCs w:val="20"/>
              </w:rPr>
              <w:t xml:space="preserve">Never assert a prospect does something by hand or lacks a tool. We were wrong once, on the best-researched name in the file. Every observation below comes from their own site copy or their contact’s job title — never from what we assume happens inside.</w:t>
            </w:r>
          </w:p>
        </w:tc>
      </w:tr>
    </w:tbl>
    <w:p>
      <w:pPr>
        <w:spacing w:after="140"/>
      </w:pPr>
    </w:p>
    <w:p>
      <w:r>
        <w:br w:type="page"/>
      </w:r>
    </w:p>
    <w:p>
      <w:pPr>
        <w:pStyle w:val="Heading1"/>
        <w:pBdr>
          <w:bottom w:val="single" w:color="10171A" w:sz="12" w:space="6"/>
        </w:pBdr>
        <w:spacing w:after="160" w:before="360"/>
      </w:pPr>
      <w:r>
        <w:rPr>
          <w:rFonts w:ascii="Georgia" w:cs="Georgia" w:eastAsia="Georgia" w:hAnsi="Georgia"/>
          <w:b/>
          <w:bCs/>
          <w:color w:val="10171A"/>
          <w:sz w:val="30"/>
          <w:szCs w:val="30"/>
        </w:rPr>
        <w:t xml:space="preserve">4.  New Ravenna</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2600"/>
        <w:gridCol w:w="6760"/>
      </w:tblGrid>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Contact</w:t>
            </w:r>
          </w:p>
        </w:tc>
        <w:tc>
          <w:tcPr>
            <w:tcW w:type="dxa" w:w="6760"/>
            <w:tcMar>
              <w:top w:type="dxa" w:w="90"/>
              <w:left w:type="dxa" w:w="130"/>
              <w:bottom w:type="dxa" w:w="90"/>
              <w:right w:type="dxa" w:w="130"/>
            </w:tcMar>
          </w:tcPr>
          <w:p>
            <w:r>
              <w:rPr>
                <w:rFonts w:ascii="Calibri" w:cs="Calibri" w:eastAsia="Calibri" w:hAnsi="Calibri"/>
                <w:b/>
                <w:bCs/>
                <w:color w:val="10171A"/>
                <w:sz w:val="20"/>
                <w:szCs w:val="20"/>
              </w:rPr>
              <w:t xml:space="preserve">Stephenie Wilkins — Concept Board Team Manager — swilkins@newravenna.com</w:t>
            </w:r>
          </w:p>
        </w:tc>
      </w:tr>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Profile</w:t>
            </w:r>
          </w:p>
        </w:tc>
        <w:tc>
          <w:tcPr>
            <w:tcW w:type="dxa" w:w="6760"/>
            <w:tcMar>
              <w:top w:type="dxa" w:w="90"/>
              <w:left w:type="dxa" w:w="130"/>
              <w:bottom w:type="dxa" w:w="90"/>
              <w:right w:type="dxa" w:w="130"/>
            </w:tcMar>
          </w:tcPr>
          <w:p>
            <w:r>
              <w:rPr>
                <w:rFonts w:ascii="Calibri" w:cs="Calibri" w:eastAsia="Calibri" w:hAnsi="Calibri"/>
                <w:color w:val="10171A"/>
                <w:sz w:val="20"/>
                <w:szCs w:val="20"/>
              </w:rPr>
              <w:t xml:space="preserve">Row 12 · Mosaic / Pool · $10–25M · Exmore, VA · Priority 1 · DIRECT MEC COMPETITOR</w:t>
            </w:r>
          </w:p>
        </w:tc>
      </w:tr>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Why</w:t>
            </w:r>
          </w:p>
        </w:tc>
        <w:tc>
          <w:tcPr>
            <w:tcW w:type="dxa" w:w="6760"/>
            <w:tcMar>
              <w:top w:type="dxa" w:w="90"/>
              <w:left w:type="dxa" w:w="130"/>
              <w:bottom w:type="dxa" w:w="90"/>
              <w:right w:type="dxa" w:w="130"/>
            </w:tcMar>
          </w:tcPr>
          <w:p>
            <w:r>
              <w:rPr>
                <w:rFonts w:ascii="Calibri" w:cs="Calibri" w:eastAsia="Calibri" w:hAnsi="Calibri"/>
                <w:color w:val="10171A"/>
                <w:sz w:val="20"/>
                <w:szCs w:val="20"/>
              </w:rPr>
              <w:t xml:space="preserve">They employ a manager whose job title is the approval step we sell into. Not an inference — it is her title. Strongest observation in the file.</w:t>
            </w:r>
          </w:p>
        </w:tc>
      </w:tr>
    </w:tbl>
    <w:p>
      <w:pPr>
        <w:spacing w:after="120"/>
      </w:pPr>
    </w:p>
    <w:tbl>
      <w:tblPr>
        <w:tblW w:type="dxa" w:w="9360"/>
        <w:tblBorders>
          <w:top w:val="none"/>
          <w:left w:val="single" w:color="A84C28" w:sz="18"/>
          <w:bottom w:val="none"/>
          <w:right w:val="none"/>
          <w:insideH w:val="none"/>
          <w:insideV w:val="none"/>
        </w:tblBorders>
      </w:tblPr>
      <w:tblGrid>
        <w:gridCol w:w="9360"/>
      </w:tblGrid>
      <w:tr>
        <w:tc>
          <w:tcPr>
            <w:tcW w:type="dxa" w:w="9360"/>
            <w:shd w:fill="FBEEE8" w:color="auto" w:val="clear"/>
            <w:tcMar>
              <w:top w:type="dxa" w:w="90"/>
              <w:left w:type="dxa" w:w="130"/>
              <w:bottom w:type="dxa" w:w="90"/>
              <w:right w:type="dxa" w:w="130"/>
            </w:tcMar>
          </w:tcPr>
          <w:p>
            <w:pPr>
              <w:spacing w:after="90"/>
            </w:pPr>
            <w:r>
              <w:rPr>
                <w:rFonts w:ascii="Consolas" w:cs="Consolas" w:eastAsia="Consolas" w:hAnsi="Consolas"/>
                <w:b/>
                <w:bCs/>
                <w:caps/>
                <w:color w:val="A84C28"/>
                <w:sz w:val="15"/>
                <w:szCs w:val="15"/>
              </w:rPr>
              <w:t xml:space="preserve">CTA changed for this row</w:t>
            </w:r>
          </w:p>
          <w:p>
            <w:pPr>
              <w:spacing w:after="0"/>
            </w:pPr>
            <w:r>
              <w:rPr>
                <w:rFonts w:ascii="Calibri" w:cs="Calibri" w:eastAsia="Calibri" w:hAnsi="Calibri"/>
                <w:color w:val="10171A"/>
                <w:sz w:val="20"/>
                <w:szCs w:val="20"/>
              </w:rPr>
              <w:t xml:space="preserve">No raw link. New Ravenna is a $10–25M mosaic house; MEC is a mosaic house. Asking them to hand an email to a competitor’s tool is the wrong ask. We name MEC as our client up front and offer to walk them through it instead.</w:t>
            </w:r>
          </w:p>
        </w:tc>
      </w:tr>
    </w:tbl>
    <w:p>
      <w:pPr>
        <w:spacing w:after="140"/>
      </w:pPr>
    </w:p>
    <w:p>
      <w:pPr>
        <w:spacing w:after="90" w:before="220"/>
      </w:pPr>
      <w:r>
        <w:rPr>
          <w:rFonts w:ascii="Consolas" w:cs="Consolas" w:eastAsia="Consolas" w:hAnsi="Consolas"/>
          <w:b/>
          <w:bCs/>
          <w:caps/>
          <w:color w:val="4C5C63"/>
          <w:spacing w:val="12"/>
          <w:sz w:val="15"/>
          <w:szCs w:val="15"/>
        </w:rPr>
        <w:t xml:space="preserve">Subject lines</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1100"/>
        <w:gridCol w:w="4000"/>
        <w:gridCol w:w="4260"/>
      </w:tblGrid>
      <w:tr>
        <w:trPr>
          <w:tblHeader/>
        </w:trPr>
        <w:tc>
          <w:tcPr>
            <w:tcW w:type="dxa" w:w="11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Touch</w:t>
            </w:r>
          </w:p>
        </w:tc>
        <w:tc>
          <w:tcPr>
            <w:tcW w:type="dxa" w:w="40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Subject</w:t>
            </w:r>
          </w:p>
        </w:tc>
        <w:tc>
          <w:tcPr>
            <w:tcW w:type="dxa" w:w="42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Rationale</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1</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your concept board team</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Names her actual team. Cannot be mistaken for a blast</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2</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describing it in plain words</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The new specific thing — how the tool actually works</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3</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closing this out</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Honest breakup, no manufactured urgency</w:t>
            </w:r>
          </w:p>
        </w:tc>
      </w:tr>
    </w:tbl>
    <w:p>
      <w:pPr>
        <w:spacing w:after="12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1 · Variant A</w:t>
            </w:r>
            <w:r>
              <w:rPr>
                <w:rFonts w:ascii="Consolas" w:cs="Consolas" w:eastAsia="Consolas" w:hAnsi="Consolas"/>
                <w:b/>
                <w:bCs/>
                <w:color w:val="10171A"/>
                <w:sz w:val="18"/>
                <w:szCs w:val="18"/>
              </w:rPr>
              <w:t xml:space="preserve">   your concept board team</w:t>
            </w:r>
            <w:r>
              <w:rPr>
                <w:rFonts w:ascii="Consolas" w:cs="Consolas" w:eastAsia="Consolas" w:hAnsi="Consolas"/>
                <w:color w:val="4C5C63"/>
                <w:sz w:val="15"/>
                <w:szCs w:val="15"/>
              </w:rPr>
              <w:t xml:space="preserve">   86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Stephenie — my colleague Shahwaz reached out on LinkedIn recently, so I’ll keep this short.</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1 · Observation</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New Ravenna turns client photographs and fabric swatches into mosaic concepts before anything is cut. You have a team manager for that step, which says it carries real weight.</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2 · Consequence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That first pass is usually where custom work stalls — not fabrication.</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3 · Proof</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We built the AI studio MEC Artworks runs. A client types what they want in plain words, uploads a photo of the room, and sees the mosaic on their own wall.</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4 · CTA</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Happy to walk you through it — worth a look?</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1 · Variant B · BAB</w:t>
            </w:r>
            <w:r>
              <w:rPr>
                <w:rFonts w:ascii="Consolas" w:cs="Consolas" w:eastAsia="Consolas" w:hAnsi="Consolas"/>
                <w:b/>
                <w:bCs/>
                <w:color w:val="10171A"/>
                <w:sz w:val="18"/>
                <w:szCs w:val="18"/>
              </w:rPr>
              <w:t xml:space="preserve">   before the client says yes</w:t>
            </w:r>
            <w:r>
              <w:rPr>
                <w:rFonts w:ascii="Consolas" w:cs="Consolas" w:eastAsia="Consolas" w:hAnsi="Consolas"/>
                <w:color w:val="4C5C63"/>
                <w:sz w:val="15"/>
                <w:szCs w:val="15"/>
              </w:rPr>
              <w:t xml:space="preserve">   84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Stephenie — Shahwaz messaged you on LinkedIn recently; short version here.</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Before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A concept board goes out, then there’s a wait — feedback, a revision, another board, and a client who can still change direction.</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After</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Now imagine they describe the change in a sentence and see it on a photo of their own wall while you’re still talking.</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That’s what we built for MEC Artworks. I can show you the working version — want me to?</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2 · +3–4 days</w:t>
            </w:r>
            <w:r>
              <w:rPr>
                <w:rFonts w:ascii="Consolas" w:cs="Consolas" w:eastAsia="Consolas" w:hAnsi="Consolas"/>
                <w:b/>
                <w:bCs/>
                <w:color w:val="10171A"/>
                <w:sz w:val="18"/>
                <w:szCs w:val="18"/>
              </w:rPr>
              <w:t xml:space="preserve">   describing it in plain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New specific</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Stephenie — the part I should have led with.</w:t>
            </w:r>
          </w:p>
          <w:p>
            <w:pPr>
              <w:spacing w:after="120"/>
            </w:pPr>
            <w:r>
              <w:rPr>
                <w:rFonts w:ascii="Consolas" w:cs="Consolas" w:eastAsia="Consolas" w:hAnsi="Consolas"/>
                <w:color w:val="10171A"/>
                <w:sz w:val="18"/>
                <w:szCs w:val="18"/>
              </w:rPr>
              <w:t xml:space="preserve">There’s no drawing and no CAD in it. Someone types “warm terracotta, geometric, Moorish influence” and gets an original concept back. Then they upload a photo of the wall and see it in place.</w:t>
            </w:r>
          </w:p>
          <w:p>
            <w:pPr>
              <w:spacing w:after="120"/>
            </w:pPr>
            <w:r>
              <w:rPr>
                <w:rFonts w:ascii="Consolas" w:cs="Consolas" w:eastAsia="Consolas" w:hAnsi="Consolas"/>
                <w:color w:val="10171A"/>
                <w:sz w:val="18"/>
                <w:szCs w:val="18"/>
              </w:rPr>
              <w:t xml:space="preserve">The reason I think it’s relevant to a concept board team: it doesn’t replace the board, it gets the client to a direction before the board is worth making.</w:t>
            </w:r>
          </w:p>
          <w:p>
            <w:pPr>
              <w:spacing w:after="0"/>
            </w:pPr>
            <w:r>
              <w:rPr>
                <w:rFonts w:ascii="Consolas" w:cs="Consolas" w:eastAsia="Consolas" w:hAnsi="Consolas"/>
                <w:color w:val="10171A"/>
                <w:sz w:val="18"/>
                <w:szCs w:val="18"/>
              </w:rPr>
              <w:t xml:space="preserve">Fifteen minutes on a call and you’ll know whether that’s useful or not.</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3 · +4–5 days</w:t>
            </w:r>
            <w:r>
              <w:rPr>
                <w:rFonts w:ascii="Consolas" w:cs="Consolas" w:eastAsia="Consolas" w:hAnsi="Consolas"/>
                <w:b/>
                <w:bCs/>
                <w:color w:val="10171A"/>
                <w:sz w:val="18"/>
                <w:szCs w:val="18"/>
              </w:rPr>
              <w:t xml:space="preserve">   closing this out</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Soft breakup</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Stephenie — I’ll leave this alone now.</w:t>
            </w:r>
          </w:p>
          <w:p>
            <w:pPr>
              <w:spacing w:after="120"/>
            </w:pPr>
            <w:r>
              <w:rPr>
                <w:rFonts w:ascii="Consolas" w:cs="Consolas" w:eastAsia="Consolas" w:hAnsi="Consolas"/>
                <w:color w:val="10171A"/>
                <w:sz w:val="18"/>
                <w:szCs w:val="18"/>
              </w:rPr>
              <w:t xml:space="preserve">If the concept stage is already as fast as you want it, that’s a good place to be and I’m glad I asked.</w:t>
            </w:r>
          </w:p>
          <w:p>
            <w:pPr>
              <w:spacing w:after="120"/>
            </w:pPr>
            <w:r>
              <w:rPr>
                <w:rFonts w:ascii="Consolas" w:cs="Consolas" w:eastAsia="Consolas" w:hAnsi="Consolas"/>
                <w:color w:val="10171A"/>
                <w:sz w:val="18"/>
                <w:szCs w:val="18"/>
              </w:rPr>
              <w:t xml:space="preserve">If it ever becomes the bottleneck — usually when volume climbs rather than when the work itself changes — we’re easy to find.</w:t>
            </w:r>
          </w:p>
          <w:p>
            <w:pPr>
              <w:spacing w:after="0"/>
            </w:pPr>
            <w:r>
              <w:rPr>
                <w:rFonts w:ascii="Consolas" w:cs="Consolas" w:eastAsia="Consolas" w:hAnsi="Consolas"/>
                <w:color w:val="10171A"/>
                <w:sz w:val="18"/>
                <w:szCs w:val="18"/>
              </w:rPr>
              <w:t xml:space="preserve">Thanks for reading this far.</w:t>
            </w:r>
          </w:p>
        </w:tc>
      </w:tr>
    </w:tbl>
    <w:p>
      <w:pPr>
        <w:spacing w:after="160"/>
      </w:pPr>
    </w:p>
    <w:p>
      <w:pPr>
        <w:spacing w:after="90" w:before="220"/>
      </w:pPr>
      <w:r>
        <w:rPr>
          <w:rFonts w:ascii="Consolas" w:cs="Consolas" w:eastAsia="Consolas" w:hAnsi="Consolas"/>
          <w:b/>
          <w:bCs/>
          <w:caps/>
          <w:color w:val="4C5C63"/>
          <w:spacing w:val="12"/>
          <w:sz w:val="15"/>
          <w:szCs w:val="15"/>
        </w:rPr>
        <w:t xml:space="preserve">LinkedIn — Shahwaz</w:t>
      </w: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Invite note</w:t>
            </w:r>
            <w:r>
              <w:rPr>
                <w:rFonts w:ascii="Consolas" w:cs="Consolas" w:eastAsia="Consolas" w:hAnsi="Consolas"/>
                <w:color w:val="4C5C63"/>
                <w:sz w:val="15"/>
                <w:szCs w:val="15"/>
              </w:rPr>
              <w:t xml:space="preserve">   251 / 280 chars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Note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Hi Stephenie — your title caught my eye. Having a manager dedicated to concept boards says a lot about how much of New Ravenna’s work happens before a client says yes. That step is what I spend my time on. Would like to follow what your team puts out.</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DM on accept</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Message</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Thanks for connecting, Stephenie.</w:t>
            </w:r>
          </w:p>
          <w:p>
            <w:pPr>
              <w:spacing w:after="120"/>
            </w:pPr>
            <w:r>
              <w:rPr>
                <w:rFonts w:ascii="Consolas" w:cs="Consolas" w:eastAsia="Consolas" w:hAnsi="Consolas"/>
                <w:color w:val="10171A"/>
                <w:sz w:val="18"/>
                <w:szCs w:val="18"/>
              </w:rPr>
              <w:t xml:space="preserve">I’ll be straight about who I am: we’re the studio that built the AI mosaic tool MEC Artworks runs. They’re in your industry, so I’d rather say that up front than have you find it.</w:t>
            </w:r>
          </w:p>
          <w:p>
            <w:pPr>
              <w:spacing w:after="120"/>
            </w:pPr>
            <w:r>
              <w:rPr>
                <w:rFonts w:ascii="Consolas" w:cs="Consolas" w:eastAsia="Consolas" w:hAnsi="Consolas"/>
                <w:color w:val="10171A"/>
                <w:sz w:val="18"/>
                <w:szCs w:val="18"/>
              </w:rPr>
              <w:t xml:space="preserve">What it does: a client describes a mosaic in ordinary words — colour, mood, subject — and gets an original concept. Then they upload a photo of the actual room and see it on the wall.</w:t>
            </w:r>
          </w:p>
          <w:p>
            <w:pPr>
              <w:spacing w:after="120"/>
            </w:pPr>
            <w:r>
              <w:rPr>
                <w:rFonts w:ascii="Consolas" w:cs="Consolas" w:eastAsia="Consolas" w:hAnsi="Consolas"/>
                <w:color w:val="10171A"/>
                <w:sz w:val="18"/>
                <w:szCs w:val="18"/>
              </w:rPr>
              <w:t xml:space="preserve">It’s aimed at the stage before a concept board is worth making. Given your team owns exactly that step, I’d value your read on it more than most people’s.</w:t>
            </w:r>
          </w:p>
          <w:p>
            <w:pPr>
              <w:spacing w:after="0"/>
            </w:pPr>
            <w:r>
              <w:rPr>
                <w:rFonts w:ascii="Consolas" w:cs="Consolas" w:eastAsia="Consolas" w:hAnsi="Consolas"/>
                <w:color w:val="10171A"/>
                <w:sz w:val="18"/>
                <w:szCs w:val="18"/>
              </w:rPr>
              <w:t xml:space="preserve">Want me to walk you through it?</w:t>
            </w:r>
          </w:p>
        </w:tc>
      </w:tr>
    </w:tbl>
    <w:p>
      <w:pPr>
        <w:spacing w:after="160"/>
      </w:pPr>
    </w:p>
    <w:p>
      <w:r>
        <w:br w:type="page"/>
      </w:r>
    </w:p>
    <w:p>
      <w:pPr>
        <w:pStyle w:val="Heading1"/>
        <w:pBdr>
          <w:bottom w:val="single" w:color="10171A" w:sz="12" w:space="6"/>
        </w:pBdr>
        <w:spacing w:after="160" w:before="360"/>
      </w:pPr>
      <w:r>
        <w:rPr>
          <w:rFonts w:ascii="Georgia" w:cs="Georgia" w:eastAsia="Georgia" w:hAnsi="Georgia"/>
          <w:b/>
          <w:bCs/>
          <w:color w:val="10171A"/>
          <w:sz w:val="30"/>
          <w:szCs w:val="30"/>
        </w:rPr>
        <w:t xml:space="preserve">5.  Area Environments</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2600"/>
        <w:gridCol w:w="6760"/>
      </w:tblGrid>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Contact</w:t>
            </w:r>
          </w:p>
        </w:tc>
        <w:tc>
          <w:tcPr>
            <w:tcW w:type="dxa" w:w="6760"/>
            <w:tcMar>
              <w:top w:type="dxa" w:w="90"/>
              <w:left w:type="dxa" w:w="130"/>
              <w:bottom w:type="dxa" w:w="90"/>
              <w:right w:type="dxa" w:w="130"/>
            </w:tcMar>
          </w:tcPr>
          <w:p>
            <w:r>
              <w:rPr>
                <w:rFonts w:ascii="Calibri" w:cs="Calibri" w:eastAsia="Calibri" w:hAnsi="Calibri"/>
                <w:b/>
                <w:bCs/>
                <w:color w:val="10171A"/>
                <w:sz w:val="20"/>
                <w:szCs w:val="20"/>
              </w:rPr>
              <w:t xml:space="preserve">Heather Neurer — Design Manager — hneurer@areaenvironments.com</w:t>
            </w:r>
          </w:p>
        </w:tc>
      </w:tr>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Profile</w:t>
            </w:r>
          </w:p>
        </w:tc>
        <w:tc>
          <w:tcPr>
            <w:tcW w:type="dxa" w:w="6760"/>
            <w:tcMar>
              <w:top w:type="dxa" w:w="90"/>
              <w:left w:type="dxa" w:w="130"/>
              <w:bottom w:type="dxa" w:w="90"/>
              <w:right w:type="dxa" w:w="130"/>
            </w:tcMar>
          </w:tcPr>
          <w:p>
            <w:r>
              <w:rPr>
                <w:rFonts w:ascii="Calibri" w:cs="Calibri" w:eastAsia="Calibri" w:hAnsi="Calibri"/>
                <w:color w:val="10171A"/>
                <w:sz w:val="20"/>
                <w:szCs w:val="20"/>
              </w:rPr>
              <w:t xml:space="preserve">Row 54 · Murals &amp; wallcoverings · $1–5M · Priority 1 · Trade-only · Not a competitor</w:t>
            </w:r>
          </w:p>
        </w:tc>
      </w:tr>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Why</w:t>
            </w:r>
          </w:p>
        </w:tc>
        <w:tc>
          <w:tcPr>
            <w:tcW w:type="dxa" w:w="6760"/>
            <w:tcMar>
              <w:top w:type="dxa" w:w="90"/>
              <w:left w:type="dxa" w:w="130"/>
              <w:bottom w:type="dxa" w:w="90"/>
              <w:right w:type="dxa" w:w="130"/>
            </w:tcMar>
          </w:tcPr>
          <w:p>
            <w:r>
              <w:rPr>
                <w:rFonts w:ascii="Calibri" w:cs="Calibri" w:eastAsia="Calibri" w:hAnsi="Calibri"/>
                <w:color w:val="10171A"/>
                <w:sz w:val="20"/>
                <w:szCs w:val="20"/>
              </w:rPr>
              <w:t xml:space="preserve">Highest tool-gap-to-need ratio in the file. Trade-only — §7.4’s strongest free signal — plus an explicit upload-your-own-artwork offer. Direct site visit, so findings are solid.</w:t>
            </w:r>
          </w:p>
        </w:tc>
      </w:tr>
    </w:tbl>
    <w:p>
      <w:pPr>
        <w:spacing w:after="120"/>
      </w:pPr>
    </w:p>
    <w:p>
      <w:pPr>
        <w:spacing w:after="90" w:before="220"/>
      </w:pPr>
      <w:r>
        <w:rPr>
          <w:rFonts w:ascii="Consolas" w:cs="Consolas" w:eastAsia="Consolas" w:hAnsi="Consolas"/>
          <w:b/>
          <w:bCs/>
          <w:caps/>
          <w:color w:val="4C5C63"/>
          <w:spacing w:val="12"/>
          <w:sz w:val="15"/>
          <w:szCs w:val="15"/>
        </w:rPr>
        <w:t xml:space="preserve">Subject lines</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1100"/>
        <w:gridCol w:w="4000"/>
        <w:gridCol w:w="4260"/>
      </w:tblGrid>
      <w:tr>
        <w:trPr>
          <w:tblHeader/>
        </w:trPr>
        <w:tc>
          <w:tcPr>
            <w:tcW w:type="dxa" w:w="11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Touch</w:t>
            </w:r>
          </w:p>
        </w:tc>
        <w:tc>
          <w:tcPr>
            <w:tcW w:type="dxa" w:w="40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Subject</w:t>
            </w:r>
          </w:p>
        </w:tc>
        <w:tc>
          <w:tcPr>
            <w:tcW w:type="dxa" w:w="42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Rationale</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1</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bring your own artwork</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Their own FAQ language, quoted back</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2</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five previews, no signup wall</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States the exact cost of acting</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3</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last note from me</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Clean exit</w:t>
            </w:r>
          </w:p>
        </w:tc>
      </w:tr>
    </w:tbl>
    <w:p>
      <w:pPr>
        <w:spacing w:after="12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1 · Variant A</w:t>
            </w:r>
            <w:r>
              <w:rPr>
                <w:rFonts w:ascii="Consolas" w:cs="Consolas" w:eastAsia="Consolas" w:hAnsi="Consolas"/>
                <w:b/>
                <w:bCs/>
                <w:color w:val="10171A"/>
                <w:sz w:val="18"/>
                <w:szCs w:val="18"/>
              </w:rPr>
              <w:t xml:space="preserve">   bring your own artwork</w:t>
            </w:r>
            <w:r>
              <w:rPr>
                <w:rFonts w:ascii="Consolas" w:cs="Consolas" w:eastAsia="Consolas" w:hAnsi="Consolas"/>
                <w:color w:val="4C5C63"/>
                <w:sz w:val="15"/>
                <w:szCs w:val="15"/>
              </w:rPr>
              <w:t xml:space="preserve">   89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Heather — my colleague Shahwaz reached out on LinkedIn recently, so I’ll keep this short.</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1 · Observation</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Your FAQ says if someone brings a piece or a photograph, Area will build the wallcovering around it. That’s a real offer, and trade-only — so a designer specifies it to a client waiting on the other side.</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2 · Consequence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Right now that client approves from a sample and their imagination.</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3 · Proof</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We built a tool for MEC Artworks where you upload a photo of the room and see the design on the actual wall. It’s free and live.</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4 · CTA</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Want the link?</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1 · Variant B · BAB</w:t>
            </w:r>
            <w:r>
              <w:rPr>
                <w:rFonts w:ascii="Consolas" w:cs="Consolas" w:eastAsia="Consolas" w:hAnsi="Consolas"/>
                <w:b/>
                <w:bCs/>
                <w:color w:val="10171A"/>
                <w:sz w:val="18"/>
                <w:szCs w:val="18"/>
              </w:rPr>
              <w:t xml:space="preserve">   approving from a sample</w:t>
            </w:r>
            <w:r>
              <w:rPr>
                <w:rFonts w:ascii="Consolas" w:cs="Consolas" w:eastAsia="Consolas" w:hAnsi="Consolas"/>
                <w:color w:val="4C5C63"/>
                <w:sz w:val="15"/>
                <w:szCs w:val="15"/>
              </w:rPr>
              <w:t xml:space="preserve">   82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Heather — Shahwaz messaged you on LinkedIn recently; short version.</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Before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A designer brings artwork to Area, you build the wallcovering around it, and their client signs off from a sample and a lot of trust.</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After</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With a preview, that client sees it on their own wall before anyone commits to a print run.</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We built one for MEC Artworks — free, five previews, no subscription. Send it over?</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2 · +3–4 days</w:t>
            </w:r>
            <w:r>
              <w:rPr>
                <w:rFonts w:ascii="Consolas" w:cs="Consolas" w:eastAsia="Consolas" w:hAnsi="Consolas"/>
                <w:b/>
                <w:bCs/>
                <w:color w:val="10171A"/>
                <w:sz w:val="18"/>
                <w:szCs w:val="18"/>
              </w:rPr>
              <w:t xml:space="preserve">   five previews, no signup wall</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New specific</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Heather — should have included this first time.</w:t>
            </w:r>
          </w:p>
          <w:p>
            <w:pPr>
              <w:spacing w:after="120"/>
            </w:pPr>
            <w:r>
              <w:rPr>
                <w:rFonts w:ascii="Consolas" w:cs="Consolas" w:eastAsia="Consolas" w:hAnsi="Consolas"/>
                <w:color w:val="10171A"/>
                <w:sz w:val="18"/>
                <w:szCs w:val="18"/>
              </w:rPr>
              <w:t xml:space="preserve">It’s at ai.mecartworks.com. An email code gets you five high-resolution previews. No password to create, no subscription.</w:t>
            </w:r>
          </w:p>
          <w:p>
            <w:pPr>
              <w:spacing w:after="120"/>
            </w:pPr>
            <w:r>
              <w:rPr>
                <w:rFonts w:ascii="Consolas" w:cs="Consolas" w:eastAsia="Consolas" w:hAnsi="Consolas"/>
                <w:color w:val="10171A"/>
                <w:sz w:val="18"/>
                <w:szCs w:val="18"/>
              </w:rPr>
              <w:t xml:space="preserve">Upload a photo, describe what you want, pick the surface. Given every Area piece starts with a specific artist’s work, the honest test is whether the result looks like something you’d put in front of a designer.</w:t>
            </w:r>
          </w:p>
          <w:p>
            <w:pPr>
              <w:spacing w:after="0"/>
            </w:pPr>
            <w:r>
              <w:rPr>
                <w:rFonts w:ascii="Consolas" w:cs="Consolas" w:eastAsia="Consolas" w:hAnsi="Consolas"/>
                <w:color w:val="10171A"/>
                <w:sz w:val="18"/>
                <w:szCs w:val="18"/>
              </w:rPr>
              <w:t xml:space="preserve">If it doesn’t, that’s a fair answer and I’ll stop here.</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3 · +4–5 days</w:t>
            </w:r>
            <w:r>
              <w:rPr>
                <w:rFonts w:ascii="Consolas" w:cs="Consolas" w:eastAsia="Consolas" w:hAnsi="Consolas"/>
                <w:b/>
                <w:bCs/>
                <w:color w:val="10171A"/>
                <w:sz w:val="18"/>
                <w:szCs w:val="18"/>
              </w:rPr>
              <w:t xml:space="preserve">   last note from me</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Soft breakup</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Heather — I’ll stop here.</w:t>
            </w:r>
          </w:p>
          <w:p>
            <w:pPr>
              <w:spacing w:after="120"/>
            </w:pPr>
            <w:r>
              <w:rPr>
                <w:rFonts w:ascii="Consolas" w:cs="Consolas" w:eastAsia="Consolas" w:hAnsi="Consolas"/>
                <w:color w:val="10171A"/>
                <w:sz w:val="18"/>
                <w:szCs w:val="18"/>
              </w:rPr>
              <w:t xml:space="preserve">Selling to the trade only means your approval cycle runs through someone else’s client, which is the hardest version of this to fix from the inside. If Area ever wants to hand designers something they can show live, ai.mecartworks.com is the example.</w:t>
            </w:r>
          </w:p>
          <w:p>
            <w:pPr>
              <w:spacing w:after="0"/>
            </w:pPr>
            <w:r>
              <w:rPr>
                <w:rFonts w:ascii="Consolas" w:cs="Consolas" w:eastAsia="Consolas" w:hAnsi="Consolas"/>
                <w:color w:val="10171A"/>
                <w:sz w:val="18"/>
                <w:szCs w:val="18"/>
              </w:rPr>
              <w:t xml:space="preserve">Either way — paying artists a royalty on every wallcovering sold in their name is a genuinely good thing to see in this industry.</w:t>
            </w:r>
          </w:p>
        </w:tc>
      </w:tr>
    </w:tbl>
    <w:p>
      <w:pPr>
        <w:spacing w:after="160"/>
      </w:pPr>
    </w:p>
    <w:p>
      <w:pPr>
        <w:spacing w:after="90" w:before="220"/>
      </w:pPr>
      <w:r>
        <w:rPr>
          <w:rFonts w:ascii="Consolas" w:cs="Consolas" w:eastAsia="Consolas" w:hAnsi="Consolas"/>
          <w:b/>
          <w:bCs/>
          <w:caps/>
          <w:color w:val="4C5C63"/>
          <w:spacing w:val="12"/>
          <w:sz w:val="15"/>
          <w:szCs w:val="15"/>
        </w:rPr>
        <w:t xml:space="preserve">LinkedIn — Shahwaz</w:t>
      </w: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Invite note</w:t>
            </w:r>
            <w:r>
              <w:rPr>
                <w:rFonts w:ascii="Consolas" w:cs="Consolas" w:eastAsia="Consolas" w:hAnsi="Consolas"/>
                <w:color w:val="4C5C63"/>
                <w:sz w:val="15"/>
                <w:szCs w:val="15"/>
              </w:rPr>
              <w:t xml:space="preserve">   266 / 280 chars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Note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Hi Heather — I read that Area builds a wallcovering around a client’s own piece or photograph, and that every artist earns a royalty on what sells in their name. That’s a rare way to run it. I work on the design-approval side of this world and would like to connect.</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DM on accept</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Message</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Thanks for connecting, Heather.</w:t>
            </w:r>
          </w:p>
          <w:p>
            <w:pPr>
              <w:spacing w:after="120"/>
            </w:pPr>
            <w:r>
              <w:rPr>
                <w:rFonts w:ascii="Consolas" w:cs="Consolas" w:eastAsia="Consolas" w:hAnsi="Consolas"/>
                <w:color w:val="10171A"/>
                <w:sz w:val="18"/>
                <w:szCs w:val="18"/>
              </w:rPr>
              <w:t xml:space="preserve">Two things stood out: Area sells to the trade only, and your FAQ says if someone brings a piece, a photograph or a concept, you’ll build the wallcovering around it.</w:t>
            </w:r>
          </w:p>
          <w:p>
            <w:pPr>
              <w:spacing w:after="120"/>
            </w:pPr>
            <w:r>
              <w:rPr>
                <w:rFonts w:ascii="Consolas" w:cs="Consolas" w:eastAsia="Consolas" w:hAnsi="Consolas"/>
                <w:color w:val="10171A"/>
                <w:sz w:val="18"/>
                <w:szCs w:val="18"/>
              </w:rPr>
              <w:t xml:space="preserve">So a designer is specifying your work to a client who has to picture the result before approving it.</w:t>
            </w:r>
          </w:p>
          <w:p>
            <w:pPr>
              <w:spacing w:after="120"/>
            </w:pPr>
            <w:r>
              <w:rPr>
                <w:rFonts w:ascii="Consolas" w:cs="Consolas" w:eastAsia="Consolas" w:hAnsi="Consolas"/>
                <w:color w:val="10171A"/>
                <w:sz w:val="18"/>
                <w:szCs w:val="18"/>
              </w:rPr>
              <w:t xml:space="preserve">We built a tool for MEC Artworks that closes that gap — you upload a photo of the room, describe the design in plain words, and see it on the wall. Free, five previews, no subscription.</w:t>
            </w:r>
          </w:p>
          <w:p>
            <w:pPr>
              <w:spacing w:after="0"/>
            </w:pPr>
            <w:r>
              <w:rPr>
                <w:rFonts w:ascii="Consolas" w:cs="Consolas" w:eastAsia="Consolas" w:hAnsi="Consolas"/>
                <w:color w:val="10171A"/>
                <w:sz w:val="18"/>
                <w:szCs w:val="18"/>
              </w:rPr>
              <w:t xml:space="preserve">Worth two minutes on one of your artist collections. Want the link?</w:t>
            </w:r>
          </w:p>
        </w:tc>
      </w:tr>
    </w:tbl>
    <w:p>
      <w:pPr>
        <w:spacing w:after="160"/>
      </w:pPr>
    </w:p>
    <w:p>
      <w:r>
        <w:br w:type="page"/>
      </w:r>
    </w:p>
    <w:p>
      <w:pPr>
        <w:pStyle w:val="Heading1"/>
        <w:pBdr>
          <w:bottom w:val="single" w:color="10171A" w:sz="12" w:space="6"/>
        </w:pBdr>
        <w:spacing w:after="160" w:before="360"/>
      </w:pPr>
      <w:r>
        <w:rPr>
          <w:rFonts w:ascii="Georgia" w:cs="Georgia" w:eastAsia="Georgia" w:hAnsi="Georgia"/>
          <w:b/>
          <w:bCs/>
          <w:color w:val="10171A"/>
          <w:sz w:val="30"/>
          <w:szCs w:val="30"/>
        </w:rPr>
        <w:t xml:space="preserve">6.  US Vinyl Manufacturing</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2600"/>
        <w:gridCol w:w="6760"/>
      </w:tblGrid>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Contact</w:t>
            </w:r>
          </w:p>
        </w:tc>
        <w:tc>
          <w:tcPr>
            <w:tcW w:type="dxa" w:w="6760"/>
            <w:tcMar>
              <w:top w:type="dxa" w:w="90"/>
              <w:left w:type="dxa" w:w="130"/>
              <w:bottom w:type="dxa" w:w="90"/>
              <w:right w:type="dxa" w:w="130"/>
            </w:tcMar>
          </w:tcPr>
          <w:p>
            <w:r>
              <w:rPr>
                <w:rFonts w:ascii="Calibri" w:cs="Calibri" w:eastAsia="Calibri" w:hAnsi="Calibri"/>
                <w:b/>
                <w:bCs/>
                <w:color w:val="10171A"/>
                <w:sz w:val="20"/>
                <w:szCs w:val="20"/>
              </w:rPr>
              <w:t xml:space="preserve">Susan Steinicke — Creative Director — susansteinicke@usvinyl.com</w:t>
            </w:r>
          </w:p>
        </w:tc>
      </w:tr>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Profile</w:t>
            </w:r>
          </w:p>
        </w:tc>
        <w:tc>
          <w:tcPr>
            <w:tcW w:type="dxa" w:w="6760"/>
            <w:tcMar>
              <w:top w:type="dxa" w:w="90"/>
              <w:left w:type="dxa" w:w="130"/>
              <w:bottom w:type="dxa" w:w="90"/>
              <w:right w:type="dxa" w:w="130"/>
            </w:tcMar>
          </w:tcPr>
          <w:p>
            <w:r>
              <w:rPr>
                <w:rFonts w:ascii="Calibri" w:cs="Calibri" w:eastAsia="Calibri" w:hAnsi="Calibri"/>
                <w:color w:val="10171A"/>
                <w:sz w:val="20"/>
                <w:szCs w:val="20"/>
              </w:rPr>
              <w:t xml:space="preserve">Row 57 · Wallcovering / hospitality · $5–10M · La Fayette, GA · Priority 1 · Live rebrand</w:t>
            </w:r>
          </w:p>
        </w:tc>
      </w:tr>
      <w:tr>
        <w:tc>
          <w:tcPr>
            <w:tcW w:type="dxa" w:w="2600"/>
            <w:shd w:fill="F2F5F5" w:color="auto" w:val="clear"/>
            <w:tcMar>
              <w:top w:type="dxa" w:w="90"/>
              <w:left w:type="dxa" w:w="130"/>
              <w:bottom w:type="dxa" w:w="90"/>
              <w:right w:type="dxa" w:w="130"/>
            </w:tcMar>
          </w:tcPr>
          <w:p>
            <w:r>
              <w:rPr>
                <w:rFonts w:ascii="Consolas" w:cs="Consolas" w:eastAsia="Consolas" w:hAnsi="Consolas"/>
                <w:color w:val="10171A"/>
                <w:sz w:val="18"/>
                <w:szCs w:val="18"/>
              </w:rPr>
              <w:t xml:space="preserve">Why</w:t>
            </w:r>
          </w:p>
        </w:tc>
        <w:tc>
          <w:tcPr>
            <w:tcW w:type="dxa" w:w="6760"/>
            <w:tcMar>
              <w:top w:type="dxa" w:w="90"/>
              <w:left w:type="dxa" w:w="130"/>
              <w:bottom w:type="dxa" w:w="90"/>
              <w:right w:type="dxa" w:w="130"/>
            </w:tcMar>
          </w:tcPr>
          <w:p>
            <w:r>
              <w:rPr>
                <w:rFonts w:ascii="Calibri" w:cs="Calibri" w:eastAsia="Calibri" w:hAnsi="Calibri"/>
                <w:color w:val="10171A"/>
                <w:sz w:val="20"/>
                <w:szCs w:val="20"/>
              </w:rPr>
              <w:t xml:space="preserve">A dated reason to write now: mid-rebrand into “USV Wallcovering Murals Graphics”, a stated move beyond hotel standards into art-led work.</w:t>
            </w:r>
          </w:p>
        </w:tc>
      </w:tr>
    </w:tbl>
    <w:p>
      <w:pPr>
        <w:spacing w:after="120"/>
      </w:pPr>
    </w:p>
    <w:tbl>
      <w:tblPr>
        <w:tblW w:type="dxa" w:w="9360"/>
        <w:tblBorders>
          <w:top w:val="none"/>
          <w:left w:val="single" w:color="A84C28" w:sz="18"/>
          <w:bottom w:val="none"/>
          <w:right w:val="none"/>
          <w:insideH w:val="none"/>
          <w:insideV w:val="none"/>
        </w:tblBorders>
      </w:tblPr>
      <w:tblGrid>
        <w:gridCol w:w="9360"/>
      </w:tblGrid>
      <w:tr>
        <w:tc>
          <w:tcPr>
            <w:tcW w:type="dxa" w:w="9360"/>
            <w:shd w:fill="FBEEE8" w:color="auto" w:val="clear"/>
            <w:tcMar>
              <w:top w:type="dxa" w:w="90"/>
              <w:left w:type="dxa" w:w="130"/>
              <w:bottom w:type="dxa" w:w="90"/>
              <w:right w:type="dxa" w:w="130"/>
            </w:tcMar>
          </w:tcPr>
          <w:p>
            <w:pPr>
              <w:spacing w:after="90"/>
            </w:pPr>
            <w:r>
              <w:rPr>
                <w:rFonts w:ascii="Consolas" w:cs="Consolas" w:eastAsia="Consolas" w:hAnsi="Consolas"/>
                <w:b/>
                <w:bCs/>
                <w:caps/>
                <w:color w:val="A84C28"/>
                <w:sz w:val="15"/>
                <w:szCs w:val="15"/>
              </w:rPr>
              <w:t xml:space="preserve">Do not mention</w:t>
            </w:r>
          </w:p>
          <w:p>
            <w:pPr>
              <w:spacing w:after="0"/>
            </w:pPr>
            <w:r>
              <w:rPr>
                <w:rFonts w:ascii="Calibri" w:cs="Calibri" w:eastAsia="Calibri" w:hAnsi="Calibri"/>
                <w:color w:val="10171A"/>
                <w:sz w:val="20"/>
                <w:szCs w:val="20"/>
              </w:rPr>
              <w:t xml:space="preserve">Their site runs Joomla over plain HTTP. That is useful context for us and an insult if said aloud. It never appears in copy.</w:t>
            </w:r>
          </w:p>
        </w:tc>
      </w:tr>
    </w:tbl>
    <w:p>
      <w:pPr>
        <w:spacing w:after="140"/>
      </w:pPr>
    </w:p>
    <w:p>
      <w:pPr>
        <w:spacing w:after="90" w:before="220"/>
      </w:pPr>
      <w:r>
        <w:rPr>
          <w:rFonts w:ascii="Consolas" w:cs="Consolas" w:eastAsia="Consolas" w:hAnsi="Consolas"/>
          <w:b/>
          <w:bCs/>
          <w:caps/>
          <w:color w:val="4C5C63"/>
          <w:spacing w:val="12"/>
          <w:sz w:val="15"/>
          <w:szCs w:val="15"/>
        </w:rPr>
        <w:t xml:space="preserve">Subject lines</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1100"/>
        <w:gridCol w:w="4000"/>
        <w:gridCol w:w="4260"/>
      </w:tblGrid>
      <w:tr>
        <w:trPr>
          <w:tblHeader/>
        </w:trPr>
        <w:tc>
          <w:tcPr>
            <w:tcW w:type="dxa" w:w="11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Touch</w:t>
            </w:r>
          </w:p>
        </w:tc>
        <w:tc>
          <w:tcPr>
            <w:tcW w:type="dxa" w:w="40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Subject</w:t>
            </w:r>
          </w:p>
        </w:tc>
        <w:tc>
          <w:tcPr>
            <w:tcW w:type="dxa" w:w="42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Rationale</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1</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USV Murals &amp; Graphics</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Their own new line name</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2</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a new line has no install photos yet</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A real insight about launching</w:t>
            </w:r>
          </w:p>
        </w:tc>
      </w:tr>
      <w:tr>
        <w:tc>
          <w:tcPr>
            <w:tcW w:type="dxa" w:w="1100"/>
            <w:tcMar>
              <w:top w:type="dxa" w:w="90"/>
              <w:left w:type="dxa" w:w="130"/>
              <w:bottom w:type="dxa" w:w="90"/>
              <w:right w:type="dxa" w:w="130"/>
            </w:tcMar>
          </w:tcPr>
          <w:p>
            <w:r>
              <w:rPr>
                <w:rFonts w:ascii="Calibri" w:cs="Calibri" w:eastAsia="Calibri" w:hAnsi="Calibri"/>
                <w:color w:val="10171A"/>
                <w:sz w:val="20"/>
                <w:szCs w:val="20"/>
              </w:rPr>
              <w:t xml:space="preserve">3</w:t>
            </w:r>
          </w:p>
        </w:tc>
        <w:tc>
          <w:tcPr>
            <w:tcW w:type="dxa" w:w="4000"/>
            <w:tcMar>
              <w:top w:type="dxa" w:w="90"/>
              <w:left w:type="dxa" w:w="130"/>
              <w:bottom w:type="dxa" w:w="90"/>
              <w:right w:type="dxa" w:w="130"/>
            </w:tcMar>
          </w:tcPr>
          <w:p>
            <w:r>
              <w:rPr>
                <w:rFonts w:ascii="Consolas" w:cs="Consolas" w:eastAsia="Consolas" w:hAnsi="Consolas"/>
                <w:color w:val="10171A"/>
                <w:sz w:val="18"/>
                <w:szCs w:val="18"/>
              </w:rPr>
              <w:t xml:space="preserve">wrapping up</w:t>
            </w:r>
          </w:p>
        </w:tc>
        <w:tc>
          <w:tcPr>
            <w:tcW w:type="dxa" w:w="4260"/>
            <w:tcMar>
              <w:top w:type="dxa" w:w="90"/>
              <w:left w:type="dxa" w:w="130"/>
              <w:bottom w:type="dxa" w:w="90"/>
              <w:right w:type="dxa" w:w="130"/>
            </w:tcMar>
          </w:tcPr>
          <w:p>
            <w:r>
              <w:rPr>
                <w:rFonts w:ascii="Calibri" w:cs="Calibri" w:eastAsia="Calibri" w:hAnsi="Calibri"/>
                <w:color w:val="10171A"/>
                <w:sz w:val="20"/>
                <w:szCs w:val="20"/>
              </w:rPr>
              <w:t xml:space="preserve">Clean exit</w:t>
            </w:r>
          </w:p>
        </w:tc>
      </w:tr>
    </w:tbl>
    <w:p>
      <w:pPr>
        <w:spacing w:after="12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1 · Variant A</w:t>
            </w:r>
            <w:r>
              <w:rPr>
                <w:rFonts w:ascii="Consolas" w:cs="Consolas" w:eastAsia="Consolas" w:hAnsi="Consolas"/>
                <w:b/>
                <w:bCs/>
                <w:color w:val="10171A"/>
                <w:sz w:val="18"/>
                <w:szCs w:val="18"/>
              </w:rPr>
              <w:t xml:space="preserve">   USV Murals &amp; Graphics</w:t>
            </w:r>
            <w:r>
              <w:rPr>
                <w:rFonts w:ascii="Consolas" w:cs="Consolas" w:eastAsia="Consolas" w:hAnsi="Consolas"/>
                <w:color w:val="4C5C63"/>
                <w:sz w:val="15"/>
                <w:szCs w:val="15"/>
              </w:rPr>
              <w:t xml:space="preserve">   88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Susan — my colleague Shahwaz reached out on LinkedIn recently, so I’ll keep this brief.</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1 · Observation</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USV Murals &amp; Graphics is a different sell from hotel standards. Marriott and Hilton buy to spec. Art-led work gets bought on how it looks in the room.</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2 · Consequence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That’s the harder thing to show from a sample book.</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3 · Proof</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We built a tool for MEC Artworks where a client uploads a photo of the space, describes what they want, and sees it on the wall. Free to try.</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4 · CTA</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For a line that sells on look, might be two minutes well spent.</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1 · Variant B · BAB</w:t>
            </w:r>
            <w:r>
              <w:rPr>
                <w:rFonts w:ascii="Consolas" w:cs="Consolas" w:eastAsia="Consolas" w:hAnsi="Consolas"/>
                <w:b/>
                <w:bCs/>
                <w:color w:val="10171A"/>
                <w:sz w:val="18"/>
                <w:szCs w:val="18"/>
              </w:rPr>
              <w:t xml:space="preserve">   spec work vs art-led work</w:t>
            </w:r>
            <w:r>
              <w:rPr>
                <w:rFonts w:ascii="Consolas" w:cs="Consolas" w:eastAsia="Consolas" w:hAnsi="Consolas"/>
                <w:color w:val="4C5C63"/>
                <w:sz w:val="15"/>
                <w:szCs w:val="15"/>
              </w:rPr>
              <w:t xml:space="preserve">   85 words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Susan — Shahwaz messaged you on LinkedIn recently; here’s the short version.</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Before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A hotel client picks from a standard and knows exactly what arrives. An art-led mural is the opposite — they’re approving something they’ve never seen at scale.</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After</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With a preview they see it at scale, in their own space, before the print run is committed.</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We built one for MEC Artworks and it’s free to try. Want the link?</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2 · +3–4 days</w:t>
            </w:r>
            <w:r>
              <w:rPr>
                <w:rFonts w:ascii="Consolas" w:cs="Consolas" w:eastAsia="Consolas" w:hAnsi="Consolas"/>
                <w:b/>
                <w:bCs/>
                <w:color w:val="10171A"/>
                <w:sz w:val="18"/>
                <w:szCs w:val="18"/>
              </w:rPr>
              <w:t xml:space="preserve">   a new line has no install photos yet</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New specific</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Susan — one more thought, then I’ll leave it.</w:t>
            </w:r>
          </w:p>
          <w:p>
            <w:pPr>
              <w:spacing w:after="120"/>
            </w:pPr>
            <w:r>
              <w:rPr>
                <w:rFonts w:ascii="Consolas" w:cs="Consolas" w:eastAsia="Consolas" w:hAnsi="Consolas"/>
                <w:color w:val="10171A"/>
                <w:sz w:val="18"/>
                <w:szCs w:val="18"/>
              </w:rPr>
              <w:t xml:space="preserve">The reason I think this is relevant to the Murals &amp; Graphics launch specifically: a new creative direction has no back catalogue of installed photography to point at. Showing it live does the job reference images usually do.</w:t>
            </w:r>
          </w:p>
          <w:p>
            <w:pPr>
              <w:spacing w:after="120"/>
            </w:pPr>
            <w:r>
              <w:rPr>
                <w:rFonts w:ascii="Consolas" w:cs="Consolas" w:eastAsia="Consolas" w:hAnsi="Consolas"/>
                <w:color w:val="10171A"/>
                <w:sz w:val="18"/>
                <w:szCs w:val="18"/>
              </w:rPr>
              <w:t xml:space="preserve">It’s at ai.mecartworks.com — email code, five previews, no subscription. Upload a space, describe the mural, see it in place.</w:t>
            </w:r>
          </w:p>
          <w:p>
            <w:pPr>
              <w:spacing w:after="0"/>
            </w:pPr>
            <w:r>
              <w:rPr>
                <w:rFonts w:ascii="Consolas" w:cs="Consolas" w:eastAsia="Consolas" w:hAnsi="Consolas"/>
                <w:color w:val="10171A"/>
                <w:sz w:val="18"/>
                <w:szCs w:val="18"/>
              </w:rPr>
              <w:t xml:space="preserve">Two minutes will tell you whether I’m right.</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Touch 3 · +4–5 days</w:t>
            </w:r>
            <w:r>
              <w:rPr>
                <w:rFonts w:ascii="Consolas" w:cs="Consolas" w:eastAsia="Consolas" w:hAnsi="Consolas"/>
                <w:b/>
                <w:bCs/>
                <w:color w:val="10171A"/>
                <w:sz w:val="18"/>
                <w:szCs w:val="18"/>
              </w:rPr>
              <w:t xml:space="preserve">   wrapping up</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Soft breakup</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Susan — last one from me.</w:t>
            </w:r>
          </w:p>
          <w:p>
            <w:pPr>
              <w:spacing w:after="120"/>
            </w:pPr>
            <w:r>
              <w:rPr>
                <w:rFonts w:ascii="Consolas" w:cs="Consolas" w:eastAsia="Consolas" w:hAnsi="Consolas"/>
                <w:color w:val="10171A"/>
                <w:sz w:val="18"/>
                <w:szCs w:val="18"/>
              </w:rPr>
              <w:t xml:space="preserve">Forty years of combined print experience and a client list like yours means you’ve solved harder problems than this one. If the new line ends up needing a way to show work before it exists, ai.mecartworks.com is the example to look at.</w:t>
            </w:r>
          </w:p>
          <w:p>
            <w:pPr>
              <w:spacing w:after="0"/>
            </w:pPr>
            <w:r>
              <w:rPr>
                <w:rFonts w:ascii="Consolas" w:cs="Consolas" w:eastAsia="Consolas" w:hAnsi="Consolas"/>
                <w:color w:val="10171A"/>
                <w:sz w:val="18"/>
                <w:szCs w:val="18"/>
              </w:rPr>
              <w:t xml:space="preserve">Good luck with the launch either way.</w:t>
            </w:r>
          </w:p>
        </w:tc>
      </w:tr>
    </w:tbl>
    <w:p>
      <w:pPr>
        <w:spacing w:after="160"/>
      </w:pPr>
    </w:p>
    <w:p>
      <w:pPr>
        <w:spacing w:after="90" w:before="220"/>
      </w:pPr>
      <w:r>
        <w:rPr>
          <w:rFonts w:ascii="Consolas" w:cs="Consolas" w:eastAsia="Consolas" w:hAnsi="Consolas"/>
          <w:b/>
          <w:bCs/>
          <w:caps/>
          <w:color w:val="4C5C63"/>
          <w:spacing w:val="12"/>
          <w:sz w:val="15"/>
          <w:szCs w:val="15"/>
        </w:rPr>
        <w:t xml:space="preserve">LinkedIn — Shahwaz</w:t>
      </w: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Invite note</w:t>
            </w:r>
            <w:r>
              <w:rPr>
                <w:rFonts w:ascii="Consolas" w:cs="Consolas" w:eastAsia="Consolas" w:hAnsi="Consolas"/>
                <w:color w:val="4C5C63"/>
                <w:sz w:val="15"/>
                <w:szCs w:val="15"/>
              </w:rPr>
              <w:t xml:space="preserve">   256 / 280 chars</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Note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Hi Susan — I saw USV is moving into Murals &amp; Graphics as a new creative direction, beyond the hotel-standard lines. Art-led wallcovering is a different sell from spec work, and that shift is the part I find interesting. Would like to connect and follow it.</w:t>
            </w:r>
          </w:p>
        </w:tc>
      </w:tr>
    </w:tbl>
    <w:p>
      <w:pPr>
        <w:spacing w:after="160"/>
      </w:pP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DM on accept</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Message</w:t>
            </w:r>
          </w:p>
        </w:tc>
        <w:tc>
          <w:tcPr>
            <w:tcW w:type="dxa" w:w="7460"/>
            <w:tcMar>
              <w:top w:type="dxa" w:w="90"/>
              <w:left w:type="dxa" w:w="130"/>
              <w:bottom w:type="dxa" w:w="90"/>
              <w:right w:type="dxa" w:w="130"/>
            </w:tcMar>
          </w:tcPr>
          <w:p>
            <w:pPr>
              <w:spacing w:after="120"/>
            </w:pPr>
            <w:r>
              <w:rPr>
                <w:rFonts w:ascii="Consolas" w:cs="Consolas" w:eastAsia="Consolas" w:hAnsi="Consolas"/>
                <w:color w:val="10171A"/>
                <w:sz w:val="18"/>
                <w:szCs w:val="18"/>
              </w:rPr>
              <w:t xml:space="preserve">Thanks for connecting, Susan.</w:t>
            </w:r>
          </w:p>
          <w:p>
            <w:pPr>
              <w:spacing w:after="120"/>
            </w:pPr>
            <w:r>
              <w:rPr>
                <w:rFonts w:ascii="Consolas" w:cs="Consolas" w:eastAsia="Consolas" w:hAnsi="Consolas"/>
                <w:color w:val="10171A"/>
                <w:sz w:val="18"/>
                <w:szCs w:val="18"/>
              </w:rPr>
              <w:t xml:space="preserve">The Murals &amp; Graphics direction is what caught my attention. Supplying Marriott, Hilton and IHG to spec is one business. Art-led work is a different one — it gets bought on how it looks in the room, and that’s much harder to show on a sample board.</w:t>
            </w:r>
          </w:p>
          <w:p>
            <w:pPr>
              <w:spacing w:after="120"/>
            </w:pPr>
            <w:r>
              <w:rPr>
                <w:rFonts w:ascii="Consolas" w:cs="Consolas" w:eastAsia="Consolas" w:hAnsi="Consolas"/>
                <w:color w:val="10171A"/>
                <w:sz w:val="18"/>
                <w:szCs w:val="18"/>
              </w:rPr>
              <w:t xml:space="preserve">We built a tool for MEC Artworks that handles exactly that: upload a photo of the space, describe the mural in plain words, see it on the wall. Free, five previews.</w:t>
            </w:r>
          </w:p>
          <w:p>
            <w:pPr>
              <w:spacing w:after="0"/>
            </w:pPr>
            <w:r>
              <w:rPr>
                <w:rFonts w:ascii="Consolas" w:cs="Consolas" w:eastAsia="Consolas" w:hAnsi="Consolas"/>
                <w:color w:val="10171A"/>
                <w:sz w:val="18"/>
                <w:szCs w:val="18"/>
              </w:rPr>
              <w:t xml:space="preserve">For a line that sells on look rather than spec, might be worth two minutes. Want the link?</w:t>
            </w:r>
          </w:p>
        </w:tc>
      </w:tr>
    </w:tbl>
    <w:p>
      <w:pPr>
        <w:spacing w:after="160"/>
      </w:pPr>
    </w:p>
    <w:p>
      <w:r>
        <w:br w:type="page"/>
      </w:r>
    </w:p>
    <w:p>
      <w:pPr>
        <w:pStyle w:val="Heading1"/>
        <w:pBdr>
          <w:bottom w:val="single" w:color="10171A" w:sz="12" w:space="6"/>
        </w:pBdr>
        <w:spacing w:after="160" w:before="360"/>
      </w:pPr>
      <w:r>
        <w:rPr>
          <w:rFonts w:ascii="Georgia" w:cs="Georgia" w:eastAsia="Georgia" w:hAnsi="Georgia"/>
          <w:b/>
          <w:bCs/>
          <w:color w:val="10171A"/>
          <w:sz w:val="30"/>
          <w:szCs w:val="30"/>
        </w:rPr>
        <w:t xml:space="preserve">7.  Scaling to the other 39</w:t>
      </w:r>
    </w:p>
    <w:tbl>
      <w:tblPr>
        <w:tblW w:type="dxa" w:w="9360"/>
        <w:tblBorders>
          <w:top w:val="single" w:color="D6DCDE" w:sz="4"/>
          <w:left w:val="single" w:color="D6DCDE" w:sz="4"/>
          <w:bottom w:val="none"/>
          <w:right w:val="single" w:color="D6DCDE" w:sz="4"/>
          <w:insideH w:val="none"/>
          <w:insideV w:val="none"/>
        </w:tblBorders>
      </w:tblPr>
      <w:tblGrid>
        <w:gridCol w:w="9360"/>
      </w:tblGrid>
      <w:tr>
        <w:tc>
          <w:tcPr>
            <w:tcW w:type="dxa" w:w="9360"/>
            <w:shd w:fill="F2F5F5" w:color="auto" w:val="clear"/>
            <w:tcMar>
              <w:top w:type="dxa" w:w="90"/>
              <w:left w:type="dxa" w:w="130"/>
              <w:bottom w:type="dxa" w:w="90"/>
              <w:right w:type="dxa" w:w="130"/>
            </w:tcMar>
          </w:tcPr>
          <w:p>
            <w:r>
              <w:rPr>
                <w:rFonts w:ascii="Consolas" w:cs="Consolas" w:eastAsia="Consolas" w:hAnsi="Consolas"/>
                <w:b/>
                <w:bCs/>
                <w:caps/>
                <w:color w:val="4C5C63"/>
                <w:sz w:val="16"/>
                <w:szCs w:val="16"/>
              </w:rPr>
              <w:t xml:space="preserve">Variant A template</w:t>
            </w:r>
          </w:p>
        </w:tc>
      </w:tr>
    </w:tbl>
    <w:tbl>
      <w:tblPr>
        <w:tblW w:type="dxa" w:w="9360"/>
        <w:tblBorders>
          <w:top w:val="none"/>
          <w:left w:val="single" w:color="D6DCDE" w:sz="4"/>
          <w:bottom w:val="single" w:color="D6DCDE" w:sz="4"/>
          <w:right w:val="single" w:color="D6DCDE" w:sz="4"/>
          <w:insideH w:val="single" w:color="E8ECED" w:sz="2"/>
          <w:insideV w:val="single" w:color="E8ECED" w:sz="2"/>
        </w:tblBorders>
      </w:tblPr>
      <w:tblGrid>
        <w:gridCol w:w="1900"/>
        <w:gridCol w:w="7460"/>
      </w:tblGrid>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Persona bridge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{first_name} — my colleague Shahwaz reached out on LinkedIn recently, so I’ll keep this short.</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1 · Observation</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{One true, specific thing — quote their CUSTOM_OFFERING or HOOK column, or their contact’s job title. Must be checkable on their own site.}</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2 · Consequence</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{One sentence on what that costs them, in their language.}</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3 · Proof</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We built a tool for MEC Artworks where a client describes what they want in plain words, uploads a photo of the space, and sees it on the wall.</w:t>
            </w:r>
          </w:p>
        </w:tc>
      </w:tr>
      <w:tr>
        <w:tc>
          <w:tcPr>
            <w:tcW w:type="dxa" w:w="1900"/>
            <w:shd w:fill="FAFAFA" w:color="auto" w:val="clear"/>
            <w:tcMar>
              <w:top w:type="dxa" w:w="90"/>
              <w:left w:type="dxa" w:w="130"/>
              <w:bottom w:type="dxa" w:w="90"/>
              <w:right w:type="dxa" w:w="130"/>
            </w:tcMar>
          </w:tcPr>
          <w:p>
            <w:r>
              <w:rPr>
                <w:rFonts w:ascii="Consolas" w:cs="Consolas" w:eastAsia="Consolas" w:hAnsi="Consolas"/>
                <w:b/>
                <w:bCs/>
                <w:caps/>
                <w:color w:val="0D6E79"/>
                <w:sz w:val="14"/>
                <w:szCs w:val="14"/>
              </w:rPr>
              <w:t xml:space="preserve">4 · CTA</w:t>
            </w:r>
          </w:p>
        </w:tc>
        <w:tc>
          <w:tcPr>
            <w:tcW w:type="dxa" w:w="7460"/>
            <w:tcMar>
              <w:top w:type="dxa" w:w="90"/>
              <w:left w:type="dxa" w:w="130"/>
              <w:bottom w:type="dxa" w:w="90"/>
              <w:right w:type="dxa" w:w="130"/>
            </w:tcMar>
          </w:tcPr>
          <w:p>
            <w:pPr>
              <w:spacing w:after="0"/>
            </w:pPr>
            <w:r>
              <w:rPr>
                <w:rFonts w:ascii="Consolas" w:cs="Consolas" w:eastAsia="Consolas" w:hAnsi="Consolas"/>
                <w:color w:val="10171A"/>
                <w:sz w:val="18"/>
                <w:szCs w:val="18"/>
              </w:rPr>
              <w:t xml:space="preserve">{Rotate — never the same closing twice in one batch.}</w:t>
            </w:r>
          </w:p>
        </w:tc>
      </w:tr>
    </w:tbl>
    <w:p>
      <w:pPr>
        <w:spacing w:after="160"/>
      </w:pPr>
    </w:p>
    <w:p>
      <w:pPr>
        <w:spacing w:after="90" w:before="220"/>
      </w:pPr>
      <w:r>
        <w:rPr>
          <w:rFonts w:ascii="Consolas" w:cs="Consolas" w:eastAsia="Consolas" w:hAnsi="Consolas"/>
          <w:b/>
          <w:bCs/>
          <w:caps/>
          <w:color w:val="4C5C63"/>
          <w:spacing w:val="12"/>
          <w:sz w:val="15"/>
          <w:szCs w:val="15"/>
        </w:rPr>
        <w:t xml:space="preserve">CTA rotation pool</w:t>
      </w:r>
    </w:p>
    <w:p>
      <w:pPr>
        <w:pStyle w:val="ListParagraph"/>
        <w:numPr>
          <w:ilvl w:val="0"/>
          <w:numId w:val="2"/>
        </w:numPr>
        <w:spacing w:after="90"/>
      </w:pPr>
      <w:r>
        <w:rPr>
          <w:rFonts w:ascii="Calibri" w:cs="Calibri" w:eastAsia="Calibri" w:hAnsi="Calibri"/>
          <w:color w:val="10171A"/>
          <w:sz w:val="20"/>
          <w:szCs w:val="20"/>
        </w:rPr>
        <w:t xml:space="preserve">“Want the link?” — non-competitors only</w:t>
      </w:r>
    </w:p>
    <w:p>
      <w:pPr>
        <w:pStyle w:val="ListParagraph"/>
        <w:numPr>
          <w:ilvl w:val="0"/>
          <w:numId w:val="2"/>
        </w:numPr>
        <w:spacing w:after="90"/>
      </w:pPr>
      <w:r>
        <w:rPr>
          <w:rFonts w:ascii="Calibri" w:cs="Calibri" w:eastAsia="Calibri" w:hAnsi="Calibri"/>
          <w:color w:val="10171A"/>
          <w:sz w:val="20"/>
          <w:szCs w:val="20"/>
        </w:rPr>
        <w:t xml:space="preserve">“Open to seeing it?”</w:t>
      </w:r>
    </w:p>
    <w:p>
      <w:pPr>
        <w:pStyle w:val="ListParagraph"/>
        <w:numPr>
          <w:ilvl w:val="0"/>
          <w:numId w:val="2"/>
        </w:numPr>
        <w:spacing w:after="90"/>
      </w:pPr>
      <w:r>
        <w:rPr>
          <w:rFonts w:ascii="Calibri" w:cs="Calibri" w:eastAsia="Calibri" w:hAnsi="Calibri"/>
          <w:color w:val="10171A"/>
          <w:sz w:val="20"/>
          <w:szCs w:val="20"/>
        </w:rPr>
        <w:t xml:space="preserve">“Happy to walk you through it — worth a look?” — competitor segment</w:t>
      </w:r>
    </w:p>
    <w:p>
      <w:pPr>
        <w:pStyle w:val="ListParagraph"/>
        <w:numPr>
          <w:ilvl w:val="0"/>
          <w:numId w:val="2"/>
        </w:numPr>
        <w:spacing w:after="90"/>
      </w:pPr>
      <w:r>
        <w:rPr>
          <w:rFonts w:ascii="Calibri" w:cs="Calibri" w:eastAsia="Calibri" w:hAnsi="Calibri"/>
          <w:color w:val="10171A"/>
          <w:sz w:val="20"/>
          <w:szCs w:val="20"/>
        </w:rPr>
        <w:t xml:space="preserve">“Might be two minutes well spent.”</w:t>
      </w:r>
    </w:p>
    <w:p>
      <w:pPr>
        <w:spacing w:after="90" w:before="220"/>
      </w:pPr>
      <w:r>
        <w:rPr>
          <w:rFonts w:ascii="Consolas" w:cs="Consolas" w:eastAsia="Consolas" w:hAnsi="Consolas"/>
          <w:b/>
          <w:bCs/>
          <w:caps/>
          <w:color w:val="4C5C63"/>
          <w:spacing w:val="12"/>
          <w:sz w:val="15"/>
          <w:szCs w:val="15"/>
        </w:rPr>
        <w:t xml:space="preserve">Column → copy mapping</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3200"/>
        <w:gridCol w:w="6160"/>
      </w:tblGrid>
      <w:tr>
        <w:trPr>
          <w:tblHeader/>
        </w:trPr>
        <w:tc>
          <w:tcPr>
            <w:tcW w:type="dxa" w:w="32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Copy slot</w:t>
            </w:r>
          </w:p>
        </w:tc>
        <w:tc>
          <w:tcPr>
            <w:tcW w:type="dxa" w:w="61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Source column</w:t>
            </w:r>
          </w:p>
        </w:tc>
      </w:tr>
      <w:tr>
        <w:tc>
          <w:tcPr>
            <w:tcW w:type="dxa" w:w="3200"/>
            <w:tcMar>
              <w:top w:type="dxa" w:w="90"/>
              <w:left w:type="dxa" w:w="130"/>
              <w:bottom w:type="dxa" w:w="90"/>
              <w:right w:type="dxa" w:w="130"/>
            </w:tcMar>
          </w:tcPr>
          <w:p>
            <w:r>
              <w:rPr>
                <w:rFonts w:ascii="Calibri" w:cs="Calibri" w:eastAsia="Calibri" w:hAnsi="Calibri"/>
                <w:color w:val="10171A"/>
                <w:sz w:val="20"/>
                <w:szCs w:val="20"/>
              </w:rPr>
              <w:t xml:space="preserve">Observation</w:t>
            </w:r>
          </w:p>
        </w:tc>
        <w:tc>
          <w:tcPr>
            <w:tcW w:type="dxa" w:w="6160"/>
            <w:tcMar>
              <w:top w:type="dxa" w:w="90"/>
              <w:left w:type="dxa" w:w="130"/>
              <w:bottom w:type="dxa" w:w="90"/>
              <w:right w:type="dxa" w:w="130"/>
            </w:tcMar>
          </w:tcPr>
          <w:p>
            <w:r>
              <w:rPr>
                <w:rFonts w:ascii="Consolas" w:cs="Consolas" w:eastAsia="Consolas" w:hAnsi="Consolas"/>
                <w:color w:val="10171A"/>
                <w:sz w:val="18"/>
                <w:szCs w:val="18"/>
              </w:rPr>
              <w:t xml:space="preserve">Use AI Custom Offering  /  Use AI Hook</w:t>
            </w:r>
          </w:p>
        </w:tc>
      </w:tr>
      <w:tr>
        <w:tc>
          <w:tcPr>
            <w:tcW w:type="dxa" w:w="3200"/>
            <w:tcMar>
              <w:top w:type="dxa" w:w="90"/>
              <w:left w:type="dxa" w:w="130"/>
              <w:bottom w:type="dxa" w:w="90"/>
              <w:right w:type="dxa" w:w="130"/>
            </w:tcMar>
          </w:tcPr>
          <w:p>
            <w:r>
              <w:rPr>
                <w:rFonts w:ascii="Calibri" w:cs="Calibri" w:eastAsia="Calibri" w:hAnsi="Calibri"/>
                <w:color w:val="10171A"/>
                <w:sz w:val="20"/>
                <w:szCs w:val="20"/>
              </w:rPr>
              <w:t xml:space="preserve">Greeting</w:t>
            </w:r>
          </w:p>
        </w:tc>
        <w:tc>
          <w:tcPr>
            <w:tcW w:type="dxa" w:w="6160"/>
            <w:tcMar>
              <w:top w:type="dxa" w:w="90"/>
              <w:left w:type="dxa" w:w="130"/>
              <w:bottom w:type="dxa" w:w="90"/>
              <w:right w:type="dxa" w:w="130"/>
            </w:tcMar>
          </w:tcPr>
          <w:p>
            <w:r>
              <w:rPr>
                <w:rFonts w:ascii="Consolas" w:cs="Consolas" w:eastAsia="Consolas" w:hAnsi="Consolas"/>
                <w:color w:val="10171A"/>
                <w:sz w:val="18"/>
                <w:szCs w:val="18"/>
              </w:rPr>
              <w:t xml:space="preserve">Combined First Names</w:t>
            </w:r>
          </w:p>
        </w:tc>
      </w:tr>
      <w:tr>
        <w:tc>
          <w:tcPr>
            <w:tcW w:type="dxa" w:w="3200"/>
            <w:tcMar>
              <w:top w:type="dxa" w:w="90"/>
              <w:left w:type="dxa" w:w="130"/>
              <w:bottom w:type="dxa" w:w="90"/>
              <w:right w:type="dxa" w:w="130"/>
            </w:tcMar>
          </w:tcPr>
          <w:p>
            <w:r>
              <w:rPr>
                <w:rFonts w:ascii="Calibri" w:cs="Calibri" w:eastAsia="Calibri" w:hAnsi="Calibri"/>
                <w:color w:val="10171A"/>
                <w:sz w:val="20"/>
                <w:szCs w:val="20"/>
              </w:rPr>
              <w:t xml:space="preserve">CTA choice</w:t>
            </w:r>
          </w:p>
        </w:tc>
        <w:tc>
          <w:tcPr>
            <w:tcW w:type="dxa" w:w="6160"/>
            <w:tcMar>
              <w:top w:type="dxa" w:w="90"/>
              <w:left w:type="dxa" w:w="130"/>
              <w:bottom w:type="dxa" w:w="90"/>
              <w:right w:type="dxa" w:w="130"/>
            </w:tcMar>
          </w:tcPr>
          <w:p>
            <w:r>
              <w:rPr>
                <w:rFonts w:ascii="Consolas" w:cs="Consolas" w:eastAsia="Consolas" w:hAnsi="Consolas"/>
                <w:color w:val="10171A"/>
                <w:sz w:val="18"/>
                <w:szCs w:val="18"/>
              </w:rPr>
              <w:t xml:space="preserve">niche — mosaic/tile → walkthrough, murals → link</w:t>
            </w:r>
          </w:p>
        </w:tc>
      </w:tr>
      <w:tr>
        <w:tc>
          <w:tcPr>
            <w:tcW w:type="dxa" w:w="3200"/>
            <w:tcMar>
              <w:top w:type="dxa" w:w="90"/>
              <w:left w:type="dxa" w:w="130"/>
              <w:bottom w:type="dxa" w:w="90"/>
              <w:right w:type="dxa" w:w="130"/>
            </w:tcMar>
          </w:tcPr>
          <w:p>
            <w:r>
              <w:rPr>
                <w:rFonts w:ascii="Calibri" w:cs="Calibri" w:eastAsia="Calibri" w:hAnsi="Calibri"/>
                <w:b/>
                <w:bCs/>
                <w:color w:val="A84C28"/>
                <w:sz w:val="20"/>
                <w:szCs w:val="20"/>
              </w:rPr>
              <w:t xml:space="preserve">Never cite</w:t>
            </w:r>
          </w:p>
        </w:tc>
        <w:tc>
          <w:tcPr>
            <w:tcW w:type="dxa" w:w="6160"/>
            <w:tcMar>
              <w:top w:type="dxa" w:w="90"/>
              <w:left w:type="dxa" w:w="130"/>
              <w:bottom w:type="dxa" w:w="90"/>
              <w:right w:type="dxa" w:w="130"/>
            </w:tcMar>
          </w:tcPr>
          <w:p>
            <w:r>
              <w:rPr>
                <w:rFonts w:ascii="Consolas" w:cs="Consolas" w:eastAsia="Consolas" w:hAnsi="Consolas"/>
                <w:color w:val="10171A"/>
                <w:sz w:val="18"/>
                <w:szCs w:val="18"/>
              </w:rPr>
              <w:t xml:space="preserve">Use AI Visual Tool on rows 4, 12, 27, 42 — unverified</w:t>
            </w:r>
          </w:p>
        </w:tc>
      </w:tr>
    </w:tbl>
    <w:p>
      <w:pPr>
        <w:spacing w:after="120"/>
      </w:pPr>
    </w:p>
    <w:p>
      <w:pPr>
        <w:spacing w:after="90" w:before="220"/>
      </w:pPr>
      <w:r>
        <w:rPr>
          <w:rFonts w:ascii="Consolas" w:cs="Consolas" w:eastAsia="Consolas" w:hAnsi="Consolas"/>
          <w:b/>
          <w:bCs/>
          <w:caps/>
          <w:color w:val="4C5C63"/>
          <w:spacing w:val="12"/>
          <w:sz w:val="15"/>
          <w:szCs w:val="15"/>
        </w:rPr>
        <w:t xml:space="preserve">Instantly headers — collision-proof only</w:t>
      </w:r>
    </w:p>
    <w:p>
      <w:pPr>
        <w:spacing w:after="140" w:line="276"/>
      </w:pPr>
      <w:r>
        <w:rPr>
          <w:rFonts w:ascii="Consolas" w:cs="Consolas" w:eastAsia="Consolas" w:hAnsi="Consolas"/>
          <w:color w:val="10171A"/>
          <w:sz w:val="18"/>
          <w:szCs w:val="18"/>
        </w:rPr>
        <w:t xml:space="preserve">msg_subject_line · msg_first_touch · msg_linkedin_dm · dm_first_name · company_name · segment</w:t>
      </w:r>
    </w:p>
    <w:p>
      <w:pPr>
        <w:spacing w:after="140" w:line="276"/>
      </w:pPr>
      <w:r>
        <w:rPr>
          <w:rFonts w:ascii="Calibri" w:cs="Calibri" w:eastAsia="Calibri" w:hAnsi="Calibri"/>
          <w:color w:val="10171A"/>
          <w:sz w:val="20"/>
          <w:szCs w:val="20"/>
        </w:rPr>
        <w:t xml:space="preserve">Never name a variable email_subject or email_body — they collide with Instantly system fields and cost us a campaign rebuild once already.</w:t>
      </w:r>
    </w:p>
    <w:p>
      <w:pPr>
        <w:pStyle w:val="Heading1"/>
        <w:pBdr>
          <w:bottom w:val="single" w:color="10171A" w:sz="12" w:space="6"/>
        </w:pBdr>
        <w:spacing w:after="160" w:before="360"/>
      </w:pPr>
      <w:r>
        <w:rPr>
          <w:rFonts w:ascii="Georgia" w:cs="Georgia" w:eastAsia="Georgia" w:hAnsi="Georgia"/>
          <w:b/>
          <w:bCs/>
          <w:color w:val="10171A"/>
          <w:sz w:val="30"/>
          <w:szCs w:val="30"/>
        </w:rPr>
        <w:t xml:space="preserve">8.  Reading the results</w:t>
      </w:r>
    </w:p>
    <w:tbl>
      <w:tblPr>
        <w:tblW w:type="dxa" w:w="9360"/>
        <w:tblBorders>
          <w:top w:val="none"/>
          <w:left w:val="single" w:color="A84C28" w:sz="18"/>
          <w:bottom w:val="none"/>
          <w:right w:val="none"/>
          <w:insideH w:val="none"/>
          <w:insideV w:val="none"/>
        </w:tblBorders>
      </w:tblPr>
      <w:tblGrid>
        <w:gridCol w:w="9360"/>
      </w:tblGrid>
      <w:tr>
        <w:tc>
          <w:tcPr>
            <w:tcW w:type="dxa" w:w="9360"/>
            <w:shd w:fill="FBEEE8" w:color="auto" w:val="clear"/>
            <w:tcMar>
              <w:top w:type="dxa" w:w="90"/>
              <w:left w:type="dxa" w:w="130"/>
              <w:bottom w:type="dxa" w:w="90"/>
              <w:right w:type="dxa" w:w="130"/>
            </w:tcMar>
          </w:tcPr>
          <w:p>
            <w:pPr>
              <w:spacing w:after="90"/>
            </w:pPr>
            <w:r>
              <w:rPr>
                <w:rFonts w:ascii="Consolas" w:cs="Consolas" w:eastAsia="Consolas" w:hAnsi="Consolas"/>
                <w:b/>
                <w:bCs/>
                <w:caps/>
                <w:color w:val="A84C28"/>
                <w:sz w:val="15"/>
                <w:szCs w:val="15"/>
              </w:rPr>
              <w:t xml:space="preserve">Do not run this as an A/B</w:t>
            </w:r>
          </w:p>
          <w:p>
            <w:pPr>
              <w:spacing w:after="110"/>
            </w:pPr>
            <w:r>
              <w:rPr>
                <w:rFonts w:ascii="Calibri" w:cs="Calibri" w:eastAsia="Calibri" w:hAnsi="Calibri"/>
                <w:color w:val="10171A"/>
                <w:sz w:val="20"/>
                <w:szCs w:val="20"/>
              </w:rPr>
              <w:t xml:space="preserve">42 rows split two ways is 21 per arm. At a realistic 5–10% reply rate each arm returns one or two replies. </w:t>
            </w:r>
            <w:r>
              <w:rPr>
                <w:rFonts w:ascii="Calibri" w:cs="Calibri" w:eastAsia="Calibri" w:hAnsi="Calibri"/>
                <w:b/>
                <w:bCs/>
                <w:color w:val="10171A"/>
                <w:sz w:val="20"/>
                <w:szCs w:val="20"/>
              </w:rPr>
              <w:t xml:space="preserve">Two replies against one is not a result — it is noise.</w:t>
            </w:r>
            <w:r>
              <w:rPr>
                <w:rFonts w:ascii="Calibri" w:cs="Calibri" w:eastAsia="Calibri" w:hAnsi="Calibri"/>
                <w:color w:val="10171A"/>
                <w:sz w:val="20"/>
                <w:szCs w:val="20"/>
              </w:rPr>
              <w:t xml:space="preserve"> No split of a list this size can tell you which framework is better.</w:t>
            </w:r>
          </w:p>
          <w:p>
            <w:pPr>
              <w:spacing w:after="0"/>
            </w:pPr>
            <w:r>
              <w:rPr>
                <w:rFonts w:ascii="Calibri" w:cs="Calibri" w:eastAsia="Calibri" w:hAnsi="Calibri"/>
                <w:color w:val="10171A"/>
                <w:sz w:val="20"/>
                <w:szCs w:val="20"/>
              </w:rPr>
              <w:t xml:space="preserve">This is the same trap as Campaign 2’s open rates: a number that looks like evidence and is not.</w:t>
            </w:r>
          </w:p>
        </w:tc>
      </w:tr>
    </w:tbl>
    <w:p>
      <w:pPr>
        <w:spacing w:after="140"/>
      </w:pPr>
    </w:p>
    <w:p>
      <w:pPr>
        <w:spacing w:after="90" w:before="220"/>
      </w:pPr>
      <w:r>
        <w:rPr>
          <w:rFonts w:ascii="Consolas" w:cs="Consolas" w:eastAsia="Consolas" w:hAnsi="Consolas"/>
          <w:b/>
          <w:bCs/>
          <w:caps/>
          <w:color w:val="4C5C63"/>
          <w:spacing w:val="12"/>
          <w:sz w:val="15"/>
          <w:szCs w:val="15"/>
        </w:rPr>
        <w:t xml:space="preserve">Do this instead</w:t>
      </w:r>
    </w:p>
    <w:p>
      <w:pPr>
        <w:pStyle w:val="ListParagraph"/>
        <w:numPr>
          <w:ilvl w:val="0"/>
          <w:numId w:val="3"/>
        </w:numPr>
        <w:spacing w:after="90"/>
      </w:pPr>
      <w:r>
        <w:rPr>
          <w:rFonts w:ascii="Calibri" w:cs="Calibri" w:eastAsia="Calibri" w:hAnsi="Calibri"/>
          <w:color w:val="10171A"/>
          <w:sz w:val="20"/>
          <w:szCs w:val="20"/>
        </w:rPr>
        <w:t xml:space="preserve">Run Variant A across all 42. It is the standing rule and the unproven Campaign 2 fix — the thing you actually need an answer about.</w:t>
      </w:r>
    </w:p>
    <w:p>
      <w:pPr>
        <w:pStyle w:val="ListParagraph"/>
        <w:numPr>
          <w:ilvl w:val="0"/>
          <w:numId w:val="3"/>
        </w:numPr>
        <w:spacing w:after="90"/>
      </w:pPr>
      <w:r>
        <w:rPr>
          <w:rFonts w:ascii="Calibri" w:cs="Calibri" w:eastAsia="Calibri" w:hAnsi="Calibri"/>
          <w:color w:val="10171A"/>
          <w:sz w:val="20"/>
          <w:szCs w:val="20"/>
        </w:rPr>
        <w:t xml:space="preserve">Read replies qualitatively. At this volume what people say carries far more than the rate. “Wrong person”, “not interested” and “we already have one” are three different findings.</w:t>
      </w:r>
    </w:p>
    <w:p>
      <w:pPr>
        <w:pStyle w:val="ListParagraph"/>
        <w:numPr>
          <w:ilvl w:val="0"/>
          <w:numId w:val="3"/>
        </w:numPr>
        <w:spacing w:after="90"/>
      </w:pPr>
      <w:r>
        <w:rPr>
          <w:rFonts w:ascii="Calibri" w:cs="Calibri" w:eastAsia="Calibri" w:hAnsi="Calibri"/>
          <w:color w:val="10171A"/>
          <w:sz w:val="20"/>
          <w:szCs w:val="20"/>
        </w:rPr>
        <w:t xml:space="preserve">Hold Variant B in reserve. If A returns near-zero after roughly 20 sends, switch rather than split. A sequential switch beats an underpowered split.</w:t>
      </w:r>
    </w:p>
    <w:p>
      <w:pPr>
        <w:pStyle w:val="ListParagraph"/>
        <w:numPr>
          <w:ilvl w:val="0"/>
          <w:numId w:val="3"/>
        </w:numPr>
        <w:spacing w:after="90"/>
      </w:pPr>
      <w:r>
        <w:rPr>
          <w:rFonts w:ascii="Calibri" w:cs="Calibri" w:eastAsia="Calibri" w:hAnsi="Calibri"/>
          <w:color w:val="10171A"/>
          <w:sz w:val="20"/>
          <w:szCs w:val="20"/>
        </w:rPr>
        <w:t xml:space="preserve">If you must split, split the CTA — walkthrough versus raw link. That changes behaviour far more than sentence structure, and doubles as the competitor test.</w:t>
      </w:r>
    </w:p>
    <w:p>
      <w:pPr>
        <w:spacing w:after="90" w:before="220"/>
      </w:pPr>
      <w:r>
        <w:rPr>
          <w:rFonts w:ascii="Consolas" w:cs="Consolas" w:eastAsia="Consolas" w:hAnsi="Consolas"/>
          <w:b/>
          <w:bCs/>
          <w:caps/>
          <w:color w:val="4C5C63"/>
          <w:spacing w:val="12"/>
          <w:sz w:val="15"/>
          <w:szCs w:val="15"/>
        </w:rPr>
        <w:t xml:space="preserve">Measure</w:t>
      </w:r>
    </w:p>
    <w:tbl>
      <w:tblPr>
        <w:tblW w:type="dxa" w:w="9360"/>
        <w:tblBorders>
          <w:top w:val="single" w:color="D6DCDE" w:sz="4"/>
          <w:left w:val="single" w:color="D6DCDE" w:sz="4"/>
          <w:bottom w:val="single" w:color="D6DCDE" w:sz="4"/>
          <w:right w:val="single" w:color="D6DCDE" w:sz="4"/>
          <w:insideH w:val="single" w:color="E8ECED" w:sz="2"/>
          <w:insideV w:val="single" w:color="E8ECED" w:sz="2"/>
        </w:tblBorders>
      </w:tblPr>
      <w:tblGrid>
        <w:gridCol w:w="3200"/>
        <w:gridCol w:w="6160"/>
      </w:tblGrid>
      <w:tr>
        <w:trPr>
          <w:tblHeader/>
        </w:trPr>
        <w:tc>
          <w:tcPr>
            <w:tcW w:type="dxa" w:w="320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Metric</w:t>
            </w:r>
          </w:p>
        </w:tc>
        <w:tc>
          <w:tcPr>
            <w:tcW w:type="dxa" w:w="6160"/>
            <w:shd w:fill="F2F5F5" w:color="auto" w:val="clear"/>
            <w:tcMar>
              <w:top w:type="dxa" w:w="90"/>
              <w:left w:type="dxa" w:w="130"/>
              <w:bottom w:type="dxa" w:w="90"/>
              <w:right w:type="dxa" w:w="130"/>
            </w:tcMar>
          </w:tcPr>
          <w:p>
            <w:r>
              <w:rPr>
                <w:rFonts w:ascii="Consolas" w:cs="Consolas" w:eastAsia="Consolas" w:hAnsi="Consolas"/>
                <w:b/>
                <w:bCs/>
                <w:caps/>
                <w:color w:val="4C5C63"/>
                <w:sz w:val="15"/>
                <w:szCs w:val="15"/>
              </w:rPr>
              <w:t xml:space="preserve">Use</w:t>
            </w:r>
          </w:p>
        </w:tc>
      </w:tr>
      <w:tr>
        <w:tc>
          <w:tcPr>
            <w:tcW w:type="dxa" w:w="3200"/>
            <w:tcMar>
              <w:top w:type="dxa" w:w="90"/>
              <w:left w:type="dxa" w:w="130"/>
              <w:bottom w:type="dxa" w:w="90"/>
              <w:right w:type="dxa" w:w="130"/>
            </w:tcMar>
          </w:tcPr>
          <w:p>
            <w:r>
              <w:rPr>
                <w:rFonts w:ascii="Calibri" w:cs="Calibri" w:eastAsia="Calibri" w:hAnsi="Calibri"/>
                <w:color w:val="10171A"/>
                <w:sz w:val="20"/>
                <w:szCs w:val="20"/>
              </w:rPr>
              <w:t xml:space="preserve">Reply rate</w:t>
            </w:r>
          </w:p>
        </w:tc>
        <w:tc>
          <w:tcPr>
            <w:tcW w:type="dxa" w:w="6160"/>
            <w:tcMar>
              <w:top w:type="dxa" w:w="90"/>
              <w:left w:type="dxa" w:w="130"/>
              <w:bottom w:type="dxa" w:w="90"/>
              <w:right w:type="dxa" w:w="130"/>
            </w:tcMar>
          </w:tcPr>
          <w:p>
            <w:r>
              <w:rPr>
                <w:rFonts w:ascii="Calibri" w:cs="Calibri" w:eastAsia="Calibri" w:hAnsi="Calibri"/>
                <w:color w:val="10171A"/>
                <w:sz w:val="20"/>
                <w:szCs w:val="20"/>
              </w:rPr>
              <w:t xml:space="preserve">Primary</w:t>
            </w:r>
          </w:p>
        </w:tc>
      </w:tr>
      <w:tr>
        <w:tc>
          <w:tcPr>
            <w:tcW w:type="dxa" w:w="3200"/>
            <w:tcMar>
              <w:top w:type="dxa" w:w="90"/>
              <w:left w:type="dxa" w:w="130"/>
              <w:bottom w:type="dxa" w:w="90"/>
              <w:right w:type="dxa" w:w="130"/>
            </w:tcMar>
          </w:tcPr>
          <w:p>
            <w:r>
              <w:rPr>
                <w:rFonts w:ascii="Calibri" w:cs="Calibri" w:eastAsia="Calibri" w:hAnsi="Calibri"/>
                <w:color w:val="10171A"/>
                <w:sz w:val="20"/>
                <w:szCs w:val="20"/>
              </w:rPr>
              <w:t xml:space="preserve">Positive-reply rate</w:t>
            </w:r>
          </w:p>
        </w:tc>
        <w:tc>
          <w:tcPr>
            <w:tcW w:type="dxa" w:w="6160"/>
            <w:tcMar>
              <w:top w:type="dxa" w:w="90"/>
              <w:left w:type="dxa" w:w="130"/>
              <w:bottom w:type="dxa" w:w="90"/>
              <w:right w:type="dxa" w:w="130"/>
            </w:tcMar>
          </w:tcPr>
          <w:p>
            <w:r>
              <w:rPr>
                <w:rFonts w:ascii="Calibri" w:cs="Calibri" w:eastAsia="Calibri" w:hAnsi="Calibri"/>
                <w:color w:val="10171A"/>
                <w:sz w:val="20"/>
                <w:szCs w:val="20"/>
              </w:rPr>
              <w:t xml:space="preserve">The real one</w:t>
            </w:r>
          </w:p>
        </w:tc>
      </w:tr>
      <w:tr>
        <w:tc>
          <w:tcPr>
            <w:tcW w:type="dxa" w:w="3200"/>
            <w:tcMar>
              <w:top w:type="dxa" w:w="90"/>
              <w:left w:type="dxa" w:w="130"/>
              <w:bottom w:type="dxa" w:w="90"/>
              <w:right w:type="dxa" w:w="130"/>
            </w:tcMar>
          </w:tcPr>
          <w:p>
            <w:r>
              <w:rPr>
                <w:rFonts w:ascii="Calibri" w:cs="Calibri" w:eastAsia="Calibri" w:hAnsi="Calibri"/>
                <w:color w:val="10171A"/>
                <w:sz w:val="20"/>
                <w:szCs w:val="20"/>
              </w:rPr>
              <w:t xml:space="preserve">Previews generated</w:t>
            </w:r>
          </w:p>
        </w:tc>
        <w:tc>
          <w:tcPr>
            <w:tcW w:type="dxa" w:w="6160"/>
            <w:tcMar>
              <w:top w:type="dxa" w:w="90"/>
              <w:left w:type="dxa" w:w="130"/>
              <w:bottom w:type="dxa" w:w="90"/>
              <w:right w:type="dxa" w:w="130"/>
            </w:tcMar>
          </w:tcPr>
          <w:p>
            <w:r>
              <w:rPr>
                <w:rFonts w:ascii="Calibri" w:cs="Calibri" w:eastAsia="Calibri" w:hAnsi="Calibri"/>
                <w:color w:val="10171A"/>
                <w:sz w:val="20"/>
                <w:szCs w:val="20"/>
              </w:rPr>
              <w:t xml:space="preserve">Ask MEC — anyone who uploads a room has self-qualified hard</w:t>
            </w:r>
          </w:p>
        </w:tc>
      </w:tr>
      <w:tr>
        <w:tc>
          <w:tcPr>
            <w:tcW w:type="dxa" w:w="3200"/>
            <w:tcMar>
              <w:top w:type="dxa" w:w="90"/>
              <w:left w:type="dxa" w:w="130"/>
              <w:bottom w:type="dxa" w:w="90"/>
              <w:right w:type="dxa" w:w="130"/>
            </w:tcMar>
          </w:tcPr>
          <w:p>
            <w:r>
              <w:rPr>
                <w:rFonts w:ascii="Calibri" w:cs="Calibri" w:eastAsia="Calibri" w:hAnsi="Calibri"/>
                <w:color w:val="4C5C63"/>
                <w:sz w:val="20"/>
                <w:szCs w:val="20"/>
              </w:rPr>
              <w:t xml:space="preserve">Open rate</w:t>
            </w:r>
          </w:p>
        </w:tc>
        <w:tc>
          <w:tcPr>
            <w:tcW w:type="dxa" w:w="6160"/>
            <w:tcMar>
              <w:top w:type="dxa" w:w="90"/>
              <w:left w:type="dxa" w:w="130"/>
              <w:bottom w:type="dxa" w:w="90"/>
              <w:right w:type="dxa" w:w="130"/>
            </w:tcMar>
          </w:tcPr>
          <w:p>
            <w:r>
              <w:rPr>
                <w:rFonts w:ascii="Calibri" w:cs="Calibri" w:eastAsia="Calibri" w:hAnsi="Calibri"/>
                <w:color w:val="4C5C63"/>
                <w:sz w:val="20"/>
                <w:szCs w:val="20"/>
              </w:rPr>
              <w:t xml:space="preserve">Ignore. Machine opens make it noise</w:t>
            </w:r>
          </w:p>
        </w:tc>
      </w:tr>
    </w:tbl>
    <w:p>
      <w:pPr>
        <w:spacing w:after="120"/>
      </w:pPr>
    </w:p>
    <w:p>
      <w:pPr>
        <w:pStyle w:val="Heading1"/>
        <w:pBdr>
          <w:bottom w:val="single" w:color="10171A" w:sz="12" w:space="6"/>
        </w:pBdr>
        <w:spacing w:after="160" w:before="360"/>
      </w:pPr>
      <w:r>
        <w:rPr>
          <w:rFonts w:ascii="Georgia" w:cs="Georgia" w:eastAsia="Georgia" w:hAnsi="Georgia"/>
          <w:b/>
          <w:bCs/>
          <w:color w:val="10171A"/>
          <w:sz w:val="30"/>
          <w:szCs w:val="30"/>
        </w:rPr>
        <w:t xml:space="preserve">9.  Before anything sends</w:t>
      </w:r>
    </w:p>
    <w:p>
      <w:pPr>
        <w:pStyle w:val="ListParagraph"/>
        <w:numPr>
          <w:ilvl w:val="0"/>
          <w:numId w:val="2"/>
        </w:numPr>
        <w:spacing w:after="90"/>
      </w:pPr>
      <w:r>
        <w:rPr>
          <w:rFonts w:ascii="Calibri" w:cs="Calibri" w:eastAsia="Calibri" w:hAnsi="Calibri"/>
          <w:color w:val="10171A"/>
          <w:sz w:val="20"/>
          <w:szCs w:val="20"/>
        </w:rPr>
        <w:t xml:space="preserve">Reconcile §7 of the master doc against the live app — canvas renderer or generative AI?</w:t>
      </w:r>
    </w:p>
    <w:p>
      <w:pPr>
        <w:pStyle w:val="ListParagraph"/>
        <w:numPr>
          <w:ilvl w:val="0"/>
          <w:numId w:val="2"/>
        </w:numPr>
        <w:spacing w:after="90"/>
      </w:pPr>
      <w:r>
        <w:rPr>
          <w:rFonts w:ascii="Calibri" w:cs="Calibri" w:eastAsia="Calibri" w:hAnsi="Calibri"/>
          <w:color w:val="10171A"/>
          <w:sz w:val="20"/>
          <w:szCs w:val="20"/>
        </w:rPr>
        <w:t xml:space="preserve">Abdullah: are we comfortable pointing MEC’s direct competitors at MEC’s own lead-capture tool?</w:t>
      </w:r>
    </w:p>
    <w:p>
      <w:pPr>
        <w:pStyle w:val="ListParagraph"/>
        <w:numPr>
          <w:ilvl w:val="0"/>
          <w:numId w:val="2"/>
        </w:numPr>
        <w:spacing w:after="90"/>
      </w:pPr>
      <w:r>
        <w:rPr>
          <w:rFonts w:ascii="Calibri" w:cs="Calibri" w:eastAsia="Calibri" w:hAnsi="Calibri"/>
          <w:color w:val="10171A"/>
          <w:sz w:val="20"/>
          <w:szCs w:val="20"/>
        </w:rPr>
        <w:t xml:space="preserve">Abdullah: tool access or custom build, and at what price. Touches 1–2 are safe without it; reply handling is not.</w:t>
      </w:r>
    </w:p>
    <w:p>
      <w:pPr>
        <w:pStyle w:val="ListParagraph"/>
        <w:numPr>
          <w:ilvl w:val="0"/>
          <w:numId w:val="2"/>
        </w:numPr>
        <w:spacing w:after="90"/>
      </w:pPr>
      <w:r>
        <w:rPr>
          <w:rFonts w:ascii="Calibri" w:cs="Calibri" w:eastAsia="Calibri" w:hAnsi="Calibri"/>
          <w:color w:val="10171A"/>
          <w:sz w:val="20"/>
          <w:szCs w:val="20"/>
        </w:rPr>
        <w:t xml:space="preserve">Sending domain + 3-week warm-up — still not started, still the only uncompressible item on the critical path.</w:t>
      </w:r>
    </w:p>
    <w:p>
      <w:pPr>
        <w:pStyle w:val="ListParagraph"/>
        <w:numPr>
          <w:ilvl w:val="0"/>
          <w:numId w:val="2"/>
        </w:numPr>
        <w:spacing w:after="90"/>
      </w:pPr>
      <w:r>
        <w:rPr>
          <w:rFonts w:ascii="Calibri" w:cs="Calibri" w:eastAsia="Calibri" w:hAnsi="Calibri"/>
          <w:color w:val="10171A"/>
          <w:sz w:val="20"/>
          <w:szCs w:val="20"/>
        </w:rPr>
        <w:t xml:space="preserve">Eyeball the tool question on rows 4, 12, 27 and 42 before their copy goes out.</w:t>
      </w:r>
    </w:p>
    <w:p>
      <w:pPr>
        <w:pStyle w:val="ListParagraph"/>
        <w:numPr>
          <w:ilvl w:val="0"/>
          <w:numId w:val="2"/>
        </w:numPr>
        <w:spacing w:after="90"/>
      </w:pPr>
      <w:r>
        <w:rPr>
          <w:rFonts w:ascii="Calibri" w:cs="Calibri" w:eastAsia="Calibri" w:hAnsi="Calibri"/>
          <w:color w:val="10171A"/>
          <w:sz w:val="20"/>
          <w:szCs w:val="20"/>
        </w:rPr>
        <w:t xml:space="preserve">LinkedIn first, email second. 12–15 invites/day, weekdays. Never follow up inside 48 hours.</w:t>
      </w:r>
    </w:p>
    <w:p>
      <w:pPr>
        <w:pBdr>
          <w:top w:val="single" w:color="D6DCDE" w:sz="4" w:space="10"/>
        </w:pBdr>
        <w:spacing w:before="320"/>
      </w:pPr>
      <w:r>
        <w:rPr>
          <w:rFonts w:ascii="Calibri" w:cs="Calibri" w:eastAsia="Calibri" w:hAnsi="Calibri"/>
          <w:i/>
          <w:iCs/>
          <w:color w:val="4C5C63"/>
          <w:sz w:val="17"/>
          <w:szCs w:val="17"/>
        </w:rPr>
        <w:t xml:space="preserve">Copy written 25 August 2026 against MEC’s published product pages. The Triminage portfolio page was unreachable from the drafting environment — figures attributed to §0 are carried from the master doc, not re-verified.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7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2026-08-25T16:48:53.475Z</dcterms:created>
  <dcterms:modified xsi:type="dcterms:W3CDTF">2026-08-25T16:48:53.476Z</dcterms:modified>
</cp:coreProperties>
</file>

<file path=docProps/custom.xml><?xml version="1.0" encoding="utf-8"?>
<Properties xmlns="http://schemas.openxmlformats.org/officeDocument/2006/custom-properties" xmlns:vt="http://schemas.openxmlformats.org/officeDocument/2006/docPropsVTypes"/>
</file>