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rPr>
          <w:sz w:val="24"/>
          <w:szCs w:val="24"/>
        </w:rPr>
        <w:t xml:space="preserve"/>
      </w:r>
    </w:p>
    <w:p>
      <w:pPr>
        <w:spacing w:after="200"/>
        <w:jc w:val="center"/>
      </w:pPr>
      <w:r>
        <w:rPr>
          <w:b/>
          <w:bCs/>
          <w:color w:val="1A365D"/>
          <w:sz w:val="64"/>
          <w:szCs w:val="64"/>
        </w:rPr>
        <w:t xml:space="preserve">ePACS Offline Installer</w:t>
      </w:r>
    </w:p>
    <w:p>
      <w:pPr>
        <w:spacing w:after="600"/>
        <w:jc w:val="center"/>
      </w:pPr>
      <w:r>
        <w:rPr>
          <w:b/>
          <w:bCs/>
          <w:color w:val="2B6CB0"/>
          <w:sz w:val="48"/>
          <w:szCs w:val="48"/>
        </w:rPr>
        <w:t xml:space="preserve">Solution Architecture &amp; Design</w:t>
      </w:r>
    </w:p>
    <w:p>
      <w:pPr>
        <w:spacing w:after="1200"/>
        <w:jc w:val="center"/>
      </w:pPr>
      <w:r>
        <w:rPr>
          <w:i/>
          <w:iCs/>
          <w:color w:val="4A5568"/>
          <w:sz w:val="24"/>
          <w:szCs w:val="24"/>
        </w:rPr>
        <w:t xml:space="preserve">Industry-Grade Reference Document for Technology, Architecture, and Client Stakeholders</w:t>
      </w:r>
    </w:p>
    <w:p>
      <w:pPr>
        <w:spacing w:after="80"/>
        <w:jc w:val="center"/>
      </w:pPr>
      <w:r>
        <w:rPr>
          <w:b/>
          <w:bCs/>
          <w:sz w:val="24"/>
          <w:szCs w:val="24"/>
        </w:rPr>
        <w:t xml:space="preserve">Version: 1.0</w:t>
      </w:r>
    </w:p>
    <w:p>
      <w:pPr>
        <w:spacing w:after="80"/>
        <w:jc w:val="center"/>
      </w:pPr>
      <w:r>
        <w:rPr>
          <w:color w:val="4A5568"/>
          <w:sz w:val="22"/>
          <w:szCs w:val="22"/>
        </w:rPr>
        <w:t xml:space="preserve">Status: Released for Review</w:t>
      </w:r>
    </w:p>
    <w:p>
      <w:pPr>
        <w:spacing w:after="80"/>
        <w:jc w:val="center"/>
      </w:pPr>
      <w:r>
        <w:rPr>
          <w:color w:val="4A5568"/>
          <w:sz w:val="22"/>
          <w:szCs w:val="22"/>
        </w:rPr>
        <w:t xml:space="preserve">Date: May 2026</w:t>
      </w:r>
    </w:p>
    <w:p>
      <w:pPr>
        <w:spacing w:after="1600"/>
        <w:jc w:val="center"/>
      </w:pPr>
      <w:r>
        <w:rPr>
          <w:color w:val="4A5568"/>
          <w:sz w:val="22"/>
          <w:szCs w:val="22"/>
        </w:rPr>
        <w:t xml:space="preserve">Owner: NLPSV Engineering — ePACS Installer Team</w:t>
      </w:r>
    </w:p>
    <w:p>
      <w:pPr>
        <w:spacing w:after="120"/>
        <w:jc w:val="center"/>
      </w:pPr>
      <w:r>
        <w:rPr>
          <w:b/>
          <w:bCs/>
          <w:color w:val="1A365D"/>
          <w:sz w:val="22"/>
          <w:szCs w:val="22"/>
        </w:rPr>
        <w:t xml:space="preserve">PROJECT REFERENCES</w:t>
      </w:r>
    </w:p>
    <w:p>
      <w:pPr>
        <w:spacing w:after="60"/>
        <w:jc w:val="center"/>
      </w:pPr>
      <w:r>
        <w:rPr>
          <w:sz w:val="20"/>
          <w:szCs w:val="20"/>
        </w:rPr>
        <w:t xml:space="preserve">BRD: PACS_ERP_Offline_Installer_BRD</w:t>
      </w:r>
    </w:p>
    <w:p>
      <w:pPr>
        <w:spacing w:after="60"/>
        <w:jc w:val="center"/>
      </w:pPr>
      <w:r>
        <w:rPr>
          <w:sz w:val="20"/>
          <w:szCs w:val="20"/>
        </w:rPr>
        <w:t xml:space="preserve">Plan: ePACS_Offline_Installer_Plan v3.2 (92 gaps, 20 sections, 14 appendices)</w:t>
      </w:r>
    </w:p>
    <w:p>
      <w:pPr>
        <w:jc w:val="center"/>
      </w:pPr>
      <w:r>
        <w:rPr>
          <w:sz w:val="20"/>
          <w:szCs w:val="20"/>
        </w:rPr>
        <w:t xml:space="preserve">Implementation: l3_installer .NET 8 solution v1.0</w:t>
      </w:r>
    </w:p>
    <w:p>
      <w:pPr>
        <w:pageBreakBefore/>
        <w:spacing w:after="240"/>
      </w:pPr>
      <w:r>
        <w:rPr>
          <w:b/>
          <w:bCs/>
          <w:color w:val="1A365D"/>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spacing w:after="200" w:before="360"/>
      </w:pPr>
      <w:r>
        <w:rPr>
          <w:b/>
          <w:bCs/>
          <w:color w:val="1A365D"/>
          <w:sz w:val="32"/>
          <w:szCs w:val="3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400"/>
        <w:gridCol w:w="4360"/>
      </w:tblGrid>
      <w:tr>
        <w:trPr>
          <w:tblHeader/>
        </w:trPr>
        <w:tc>
          <w:tcPr>
            <w:tcW w:type="dxa" w:w="12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Version</w:t>
            </w:r>
          </w:p>
        </w:tc>
        <w:tc>
          <w:tcPr>
            <w:tcW w:type="dxa" w:w="14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Date</w:t>
            </w:r>
          </w:p>
        </w:tc>
        <w:tc>
          <w:tcPr>
            <w:tcW w:type="dxa" w:w="24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Author</w:t>
            </w:r>
          </w:p>
        </w:tc>
        <w:tc>
          <w:tcPr>
            <w:tcW w:type="dxa" w:w="43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Summary of Changes</w:t>
            </w:r>
          </w:p>
        </w:tc>
      </w:tr>
      <w:tr>
        <w:trPr>
          <w:tblHeader w:val="false"/>
        </w:trPr>
        <w:tc>
          <w:tcPr>
            <w:tcW w:type="dxa" w:w="12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0.1</w:t>
            </w:r>
          </w:p>
        </w:tc>
        <w:tc>
          <w:tcPr>
            <w:tcW w:type="dxa" w:w="1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Mar 2026</w:t>
            </w:r>
          </w:p>
        </w:tc>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Installer Eng</w:t>
            </w:r>
          </w:p>
        </w:tc>
        <w:tc>
          <w:tcPr>
            <w:tcW w:type="dxa" w:w="4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Initial draft from BRD and v1 plan</w:t>
            </w:r>
          </w:p>
        </w:tc>
      </w:tr>
      <w:tr>
        <w:trPr>
          <w:tblHeader w:val="false"/>
        </w:trP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0.5</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Apr 2026</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Architecture</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Aligned with v3.0 plan; added DDL drift, Percona toolkit, Traceability</w:t>
            </w:r>
          </w:p>
        </w:tc>
      </w:tr>
      <w:tr>
        <w:trPr>
          <w:tblHeader w:val="false"/>
        </w:trPr>
        <w:tc>
          <w:tcPr>
            <w:tcW w:type="dxa" w:w="12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0.9</w:t>
            </w:r>
          </w:p>
        </w:tc>
        <w:tc>
          <w:tcPr>
            <w:tcW w:type="dxa" w:w="1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Apr 2026</w:t>
            </w:r>
          </w:p>
        </w:tc>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Architecture</w:t>
            </w:r>
          </w:p>
        </w:tc>
        <w:tc>
          <w:tcPr>
            <w:tcW w:type="dxa" w:w="4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Aligned with v3.1 plan; rural resilience, Traceability integration</w:t>
            </w:r>
          </w:p>
        </w:tc>
      </w:tr>
      <w:tr>
        <w:trPr>
          <w:tblHeader w:val="false"/>
        </w:trP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1.0</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May 2026</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Architecture</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Aligned with v3.2 plan; added supply chain (SLSA L3), threat model, fleet mgmt, file sync, heartbeat. Maps to v1.0 .NET implementation.</w:t>
            </w:r>
          </w:p>
        </w:tc>
      </w:tr>
    </w:tbl>
    <w:p>
      <w:pPr>
        <w:pStyle w:val="Heading1"/>
        <w:pageBreakBefore/>
        <w:spacing w:after="200" w:before="360"/>
      </w:pPr>
      <w:r>
        <w:rPr>
          <w:b/>
          <w:bCs/>
          <w:color w:val="1A365D"/>
          <w:sz w:val="32"/>
          <w:szCs w:val="32"/>
        </w:rPr>
        <w:t xml:space="preserve">Approvals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rPr>
          <w:tblHeader/>
        </w:trPr>
        <w:tc>
          <w:tcPr>
            <w:tcW w:type="dxa" w:w="22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Role</w:t>
            </w:r>
          </w:p>
        </w:tc>
        <w:tc>
          <w:tcPr>
            <w:tcW w:type="dxa" w:w="22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Name</w:t>
            </w:r>
          </w:p>
        </w:tc>
        <w:tc>
          <w:tcPr>
            <w:tcW w:type="dxa" w:w="248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Signature</w:t>
            </w:r>
          </w:p>
        </w:tc>
        <w:tc>
          <w:tcPr>
            <w:tcW w:type="dxa" w:w="248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Date</w:t>
            </w:r>
          </w:p>
        </w:tc>
      </w:tr>
      <w:tr>
        <w:trPr>
          <w:tblHeader w:val="false"/>
        </w:trPr>
        <w:tc>
          <w:tcPr>
            <w:tcW w:type="dxa" w:w="22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Engineering Lead</w:t>
            </w:r>
          </w:p>
        </w:tc>
        <w:tc>
          <w:tcPr>
            <w:tcW w:type="dxa" w:w="22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
            </w:r>
          </w:p>
        </w:tc>
        <w:tc>
          <w:tcPr>
            <w:tcW w:type="dxa" w:w="248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
            </w:r>
          </w:p>
        </w:tc>
        <w:tc>
          <w:tcPr>
            <w:tcW w:type="dxa" w:w="248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
            </w:r>
          </w:p>
        </w:tc>
      </w:tr>
      <w:tr>
        <w:trPr>
          <w:tblHeader w:val="false"/>
        </w:trP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Architecture Lead</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
            </w:r>
          </w:p>
        </w:tc>
        <w:tc>
          <w:tcPr>
            <w:tcW w:type="dxa" w:w="2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
            </w:r>
          </w:p>
        </w:tc>
        <w:tc>
          <w:tcPr>
            <w:tcW w:type="dxa" w:w="2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
            </w:r>
          </w:p>
        </w:tc>
      </w:tr>
      <w:tr>
        <w:trPr>
          <w:tblHeader w:val="false"/>
        </w:trPr>
        <w:tc>
          <w:tcPr>
            <w:tcW w:type="dxa" w:w="22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Security Lead</w:t>
            </w:r>
          </w:p>
        </w:tc>
        <w:tc>
          <w:tcPr>
            <w:tcW w:type="dxa" w:w="22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
            </w:r>
          </w:p>
        </w:tc>
        <w:tc>
          <w:tcPr>
            <w:tcW w:type="dxa" w:w="248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
            </w:r>
          </w:p>
        </w:tc>
        <w:tc>
          <w:tcPr>
            <w:tcW w:type="dxa" w:w="248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
            </w:r>
          </w:p>
        </w:tc>
      </w:tr>
      <w:tr>
        <w:trPr>
          <w:tblHeader w:val="false"/>
        </w:trP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DB Lead</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
            </w:r>
          </w:p>
        </w:tc>
        <w:tc>
          <w:tcPr>
            <w:tcW w:type="dxa" w:w="2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
            </w:r>
          </w:p>
        </w:tc>
        <w:tc>
          <w:tcPr>
            <w:tcW w:type="dxa" w:w="2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
            </w:r>
          </w:p>
        </w:tc>
      </w:tr>
      <w:tr>
        <w:trPr>
          <w:tblHeader w:val="false"/>
        </w:trPr>
        <w:tc>
          <w:tcPr>
            <w:tcW w:type="dxa" w:w="22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DevOps Lead</w:t>
            </w:r>
          </w:p>
        </w:tc>
        <w:tc>
          <w:tcPr>
            <w:tcW w:type="dxa" w:w="22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
            </w:r>
          </w:p>
        </w:tc>
        <w:tc>
          <w:tcPr>
            <w:tcW w:type="dxa" w:w="248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
            </w:r>
          </w:p>
        </w:tc>
        <w:tc>
          <w:tcPr>
            <w:tcW w:type="dxa" w:w="248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
            </w:r>
          </w:p>
        </w:tc>
      </w:tr>
      <w:tr>
        <w:trPr>
          <w:tblHeader w:val="false"/>
        </w:trP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Sync / API Lead</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
            </w:r>
          </w:p>
        </w:tc>
        <w:tc>
          <w:tcPr>
            <w:tcW w:type="dxa" w:w="2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
            </w:r>
          </w:p>
        </w:tc>
        <w:tc>
          <w:tcPr>
            <w:tcW w:type="dxa" w:w="2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
            </w:r>
          </w:p>
        </w:tc>
      </w:tr>
      <w:tr>
        <w:trPr>
          <w:tblHeader w:val="false"/>
        </w:trPr>
        <w:tc>
          <w:tcPr>
            <w:tcW w:type="dxa" w:w="22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Product Owner (NLPSV)</w:t>
            </w:r>
          </w:p>
        </w:tc>
        <w:tc>
          <w:tcPr>
            <w:tcW w:type="dxa" w:w="22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
            </w:r>
          </w:p>
        </w:tc>
        <w:tc>
          <w:tcPr>
            <w:tcW w:type="dxa" w:w="248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
            </w:r>
          </w:p>
        </w:tc>
        <w:tc>
          <w:tcPr>
            <w:tcW w:type="dxa" w:w="248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
            </w:r>
          </w:p>
        </w:tc>
      </w:tr>
      <w:tr>
        <w:trPr>
          <w:tblHeader w:val="false"/>
        </w:trP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State Federation IT Rep</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
            </w:r>
          </w:p>
        </w:tc>
        <w:tc>
          <w:tcPr>
            <w:tcW w:type="dxa" w:w="2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
            </w:r>
          </w:p>
        </w:tc>
        <w:tc>
          <w:tcPr>
            <w:tcW w:type="dxa" w:w="2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
            </w:r>
          </w:p>
        </w:tc>
      </w:tr>
      <w:tr>
        <w:trPr>
          <w:tblHeader w:val="false"/>
        </w:trPr>
        <w:tc>
          <w:tcPr>
            <w:tcW w:type="dxa" w:w="22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CxO Delegate</w:t>
            </w:r>
          </w:p>
        </w:tc>
        <w:tc>
          <w:tcPr>
            <w:tcW w:type="dxa" w:w="22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
            </w:r>
          </w:p>
        </w:tc>
        <w:tc>
          <w:tcPr>
            <w:tcW w:type="dxa" w:w="248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
            </w:r>
          </w:p>
        </w:tc>
        <w:tc>
          <w:tcPr>
            <w:tcW w:type="dxa" w:w="248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
            </w:r>
          </w:p>
        </w:tc>
      </w:tr>
    </w:tbl>
    <w:p>
      <w:pPr>
        <w:pStyle w:val="Heading1"/>
        <w:pageBreakBefore/>
        <w:spacing w:after="200" w:before="360"/>
      </w:pPr>
      <w:r>
        <w:rPr>
          <w:b/>
          <w:bCs/>
          <w:color w:val="1A365D"/>
          <w:sz w:val="32"/>
          <w:szCs w:val="32"/>
        </w:rPr>
        <w:t xml:space="preserve">1. Executive Summary</w:t>
      </w:r>
    </w:p>
    <w:p>
      <w:pPr>
        <w:spacing w:after="160" w:line="280"/>
      </w:pPr>
      <w:r>
        <w:t xml:space="preserve">ePACS is a cooperative-banking ERP deployed at thousands of Primary Agricultural Credit Societies (PACS) across India. Each PACS operates as an offline-first node — daily business must continue regardless of internet connectivity, while still reconciling with the National Level Data Repository (NLDR) and being subject to centralized governance from NLPSV (National-Level PACS Software Vendor) and CoopsIndia HQ.</w:t>
      </w:r>
    </w:p>
    <w:p>
      <w:pPr>
        <w:spacing w:after="160" w:line="280"/>
      </w:pPr>
      <w:r>
        <w:t xml:space="preserve">This Solution Architecture &amp; Design document describes a signed, governed, resilient Windows installer and accompanying runtime services that deliver the entire ePACS stack — MySQL 8.4 LTS, Microsoft Garnet (cache), Apache Kafka 3.7 LTS (KRaft, single-node), Kestrel-hosted web and business services, a Sync Agent for bidirectional NLDR synchronization, an Installer Agent for ongoing operational automation, and the Traceability module for compliance-grade audit. It is the reference for stakeholders across Architecture, Engineering, Security, DB, DevOps, Operations, and the Client.</w:t>
      </w:r>
    </w:p>
    <w:p>
      <w:pPr>
        <w:pStyle w:val="Heading2"/>
        <w:spacing w:after="160" w:before="280"/>
      </w:pPr>
      <w:r>
        <w:rPr>
          <w:b/>
          <w:bCs/>
          <w:color w:val="1A365D"/>
          <w:sz w:val="26"/>
          <w:szCs w:val="26"/>
        </w:rPr>
        <w:t xml:space="preserve">1.1 What this document covers</w:t>
      </w:r>
    </w:p>
    <w:p>
      <w:pPr>
        <w:pStyle w:val="ListParagraph"/>
        <w:numPr>
          <w:ilvl w:val="0"/>
          <w:numId w:val="2"/>
        </w:numPr>
        <w:spacing w:after="60"/>
      </w:pPr>
      <w:r>
        <w:t xml:space="preserve">The end-to-end solution architecture across PACS node and NLDR central.</w:t>
      </w:r>
    </w:p>
    <w:p>
      <w:pPr>
        <w:pStyle w:val="ListParagraph"/>
        <w:numPr>
          <w:ilvl w:val="0"/>
          <w:numId w:val="2"/>
        </w:numPr>
        <w:spacing w:after="60"/>
      </w:pPr>
      <w:r>
        <w:t xml:space="preserve">Lifecycle modes: Install, Upgrade, Repair, Backup, Restore, Uninstall, Hotfix, Self-Update.</w:t>
      </w:r>
    </w:p>
    <w:p>
      <w:pPr>
        <w:pStyle w:val="ListParagraph"/>
        <w:numPr>
          <w:ilvl w:val="0"/>
          <w:numId w:val="2"/>
        </w:numPr>
        <w:spacing w:after="60"/>
      </w:pPr>
      <w:r>
        <w:t xml:space="preserve">The .NET 8 solution layout, project orthogonality, traceability, observability, and security posture.</w:t>
      </w:r>
    </w:p>
    <w:p>
      <w:pPr>
        <w:pStyle w:val="ListParagraph"/>
        <w:numPr>
          <w:ilvl w:val="0"/>
          <w:numId w:val="2"/>
        </w:numPr>
        <w:spacing w:after="60"/>
      </w:pPr>
      <w:r>
        <w:t xml:space="preserve">How data consistency, coherence, and integrity are maintained across processes, services, and node lifecycle.</w:t>
      </w:r>
    </w:p>
    <w:p>
      <w:pPr>
        <w:pStyle w:val="ListParagraph"/>
        <w:numPr>
          <w:ilvl w:val="0"/>
          <w:numId w:val="2"/>
        </w:numPr>
        <w:spacing w:after="60"/>
      </w:pPr>
      <w:r>
        <w:t xml:space="preserve">How online ↔ offline transitions are handled with no data loss, no duplicates, and bounded backlog.</w:t>
      </w:r>
    </w:p>
    <w:p>
      <w:pPr>
        <w:pStyle w:val="ListParagraph"/>
        <w:numPr>
          <w:ilvl w:val="0"/>
          <w:numId w:val="2"/>
        </w:numPr>
        <w:spacing w:after="60"/>
      </w:pPr>
      <w:r>
        <w:t xml:space="preserve">Patterns and best practices: transactional outbox, expand-migrate-contract, side-by-side junction-flip upgrade, schema fingerprinting, SLSA L3 build provenance, ATA kill-switch.</w:t>
      </w:r>
    </w:p>
    <w:p>
      <w:pPr>
        <w:pStyle w:val="ListParagraph"/>
        <w:numPr>
          <w:ilvl w:val="0"/>
          <w:numId w:val="2"/>
        </w:numPr>
        <w:spacing w:after="60"/>
      </w:pPr>
      <w:r>
        <w:t xml:space="preserve">Key scenarios covered: power-cut mid-upgrade, 30-day offline, USB media corruption, AV interference, GPO override, schema drift, key compromise, large-dataset migration.</w:t>
      </w:r>
    </w:p>
    <w:p>
      <w:pPr>
        <w:pStyle w:val="Heading2"/>
        <w:spacing w:after="160" w:before="280"/>
      </w:pPr>
      <w:r>
        <w:rPr>
          <w:b/>
          <w:bCs/>
          <w:color w:val="1A365D"/>
          <w:sz w:val="26"/>
          <w:szCs w:val="26"/>
        </w:rPr>
        <w:t xml:space="preserve">1.2 Key design decisions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Area</w:t>
            </w:r>
          </w:p>
        </w:tc>
        <w:tc>
          <w:tcPr>
            <w:tcW w:type="dxa" w:w="61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Decision</w:t>
            </w:r>
          </w:p>
        </w:tc>
      </w:tr>
      <w:tr>
        <w:trPr>
          <w:tblHeader w:val="false"/>
        </w:trPr>
        <w:tc>
          <w:tcPr>
            <w:tcW w:type="dxa" w:w="32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Installer tooling</w:t>
            </w:r>
          </w:p>
        </w:tc>
        <w:tc>
          <w:tcPr>
            <w:tcW w:type="dxa" w:w="61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WiX v4 Burn + C# Managed Bootstrapper Application (.NET 8 self-contained, win-x64)</w:t>
            </w:r>
          </w:p>
        </w:tc>
      </w:tr>
      <w:tr>
        <w:trPr>
          <w:tblHeader w:val="false"/>
        </w:trP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Web host</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Kestrel under Windows Service — no IIS dependency</w:t>
            </w:r>
          </w:p>
        </w:tc>
      </w:tr>
      <w:tr>
        <w:trPr>
          <w:tblHeader w:val="false"/>
        </w:trPr>
        <w:tc>
          <w:tcPr>
            <w:tcW w:type="dxa" w:w="32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Database</w:t>
            </w:r>
          </w:p>
        </w:tc>
        <w:tc>
          <w:tcPr>
            <w:tcW w:type="dxa" w:w="61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MySQL 8.4 LTS Community (ZIP distribution) — installer-owned my.ini</w:t>
            </w:r>
          </w:p>
        </w:tc>
      </w:tr>
      <w:tr>
        <w:trPr>
          <w:tblHeader w:val="false"/>
        </w:trP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Cache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Microsoft Garnet (OSS, .NET 8) under ICache abstraction (Redis OSS fallback ready)</w:t>
            </w:r>
          </w:p>
        </w:tc>
      </w:tr>
      <w:tr>
        <w:trPr>
          <w:tblHeader w:val="false"/>
        </w:trPr>
        <w:tc>
          <w:tcPr>
            <w:tcW w:type="dxa" w:w="32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Eventing</w:t>
            </w:r>
          </w:p>
        </w:tc>
        <w:tc>
          <w:tcPr>
            <w:tcW w:type="dxa" w:w="61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Apache Kafka 3.7 LTS, KRaft mode, single-node, with Temurin JRE 17 LTS</w:t>
            </w:r>
          </w:p>
        </w:tc>
      </w:tr>
      <w:tr>
        <w:trPr>
          <w:tblHeader w:val="false"/>
        </w:trP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Schema migrations</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DbUp (.NET native) + Percona pt-online-schema-change for COPY-algorithm DDL on &gt; 1M rows</w:t>
            </w:r>
          </w:p>
        </w:tc>
      </w:tr>
      <w:tr>
        <w:trPr>
          <w:tblHeader w:val="false"/>
        </w:trPr>
        <w:tc>
          <w:tcPr>
            <w:tcW w:type="dxa" w:w="32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Physical backup</w:t>
            </w:r>
          </w:p>
        </w:tc>
        <w:tc>
          <w:tcPr>
            <w:tcW w:type="dxa" w:w="61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Percona XtraBackup 8.4 (incremental + full); mysqlsh for portability</w:t>
            </w:r>
          </w:p>
        </w:tc>
      </w:tr>
      <w:tr>
        <w:trPr>
          <w:tblHeader w:val="false"/>
        </w:trP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Sync transport</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ISyncTransport abstraction (HTTP/mTLS default, Disabled mode for pilot)</w:t>
            </w:r>
          </w:p>
        </w:tc>
      </w:tr>
      <w:tr>
        <w:trPr>
          <w:tblHeader w:val="false"/>
        </w:trPr>
        <w:tc>
          <w:tcPr>
            <w:tcW w:type="dxa" w:w="32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Signing</w:t>
            </w:r>
          </w:p>
        </w:tc>
        <w:tc>
          <w:tcPr>
            <w:tcW w:type="dxa" w:w="61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EV Authenticode + RFC 3161 timestamping; HSM/Key Vault backed; SLSA L3</w:t>
            </w:r>
          </w:p>
        </w:tc>
      </w:tr>
      <w:tr>
        <w:trPr>
          <w:tblHeader w:val="false"/>
        </w:trP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Provenance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in-toto attestations; reproducible builds verified across two VM images</w:t>
            </w:r>
          </w:p>
        </w:tc>
      </w:tr>
      <w:tr>
        <w:trPr>
          <w:tblHeader w:val="false"/>
        </w:trPr>
        <w:tc>
          <w:tcPr>
            <w:tcW w:type="dxa" w:w="32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Compromise response</w:t>
            </w:r>
          </w:p>
        </w:tc>
        <w:tc>
          <w:tcPr>
            <w:tcW w:type="dxa" w:w="61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ATA (Anti-Tamper Allowlist) signed by Release CA; refreshed via sync</w:t>
            </w:r>
          </w:p>
        </w:tc>
      </w:tr>
      <w:tr>
        <w:trPr>
          <w:tblHeader w:val="false"/>
        </w:trP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Backup encryption</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AES-256-GCM with certificate-wrapped per-backup symmetric key</w:t>
            </w:r>
          </w:p>
        </w:tc>
      </w:tr>
      <w:tr>
        <w:trPr>
          <w:tblHeader w:val="false"/>
        </w:trPr>
        <w:tc>
          <w:tcPr>
            <w:tcW w:type="dxa" w:w="32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Audit</w:t>
            </w:r>
          </w:p>
        </w:tc>
        <w:tc>
          <w:tcPr>
            <w:tcW w:type="dxa" w:w="61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Hash-chained audit log + Traceability module (11 partitioned tables, geo-tagged)</w:t>
            </w:r>
          </w:p>
        </w:tc>
      </w:tr>
      <w:tr>
        <w:trPr>
          <w:tblHeader w:val="false"/>
        </w:trP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Resilience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Power-cut recoverable state machine; bounded outbox; chunked sync resume</w:t>
            </w:r>
          </w:p>
        </w:tc>
      </w:tr>
      <w:tr>
        <w:trPr>
          <w:tblHeader w:val="false"/>
        </w:trPr>
        <w:tc>
          <w:tcPr>
            <w:tcW w:type="dxa" w:w="32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Localization</w:t>
            </w:r>
          </w:p>
        </w:tc>
        <w:tc>
          <w:tcPr>
            <w:tcW w:type="dxa" w:w="61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en-US, en-IN, hi-IN, mr-IN, te-IN, ta-IN with Indic test corpus and locale-safe parsing analyzer</w:t>
            </w:r>
          </w:p>
        </w:tc>
      </w:tr>
    </w:tbl>
    <w:p>
      <w:pPr>
        <w:pStyle w:val="Heading2"/>
        <w:spacing w:after="160" w:before="280"/>
      </w:pPr>
      <w:r>
        <w:rPr>
          <w:b/>
          <w:bCs/>
          <w:color w:val="1A365D"/>
          <w:sz w:val="26"/>
          <w:szCs w:val="26"/>
        </w:rPr>
        <w:t xml:space="preserve">1.3 Outcomes</w:t>
      </w:r>
    </w:p>
    <w:p>
      <w:pPr>
        <w:pStyle w:val="ListParagraph"/>
        <w:numPr>
          <w:ilvl w:val="0"/>
          <w:numId w:val="2"/>
        </w:numPr>
        <w:spacing w:after="60"/>
      </w:pPr>
      <w:r>
        <w:t xml:space="preserve">Field operators install or upgrade ePACS in under 15 minutes from a single signed USB package.</w:t>
      </w:r>
    </w:p>
    <w:p>
      <w:pPr>
        <w:pStyle w:val="ListParagraph"/>
        <w:numPr>
          <w:ilvl w:val="0"/>
          <w:numId w:val="2"/>
        </w:numPr>
        <w:spacing w:after="60"/>
      </w:pPr>
      <w:r>
        <w:t xml:space="preserve">Business operations continue across power loss, NLDR outages, and intermittent 4G connectivity.</w:t>
      </w:r>
    </w:p>
    <w:p>
      <w:pPr>
        <w:pStyle w:val="ListParagraph"/>
        <w:numPr>
          <w:ilvl w:val="0"/>
          <w:numId w:val="2"/>
        </w:numPr>
        <w:spacing w:after="60"/>
      </w:pPr>
      <w:r>
        <w:t xml:space="preserve">All data corrections, upgrades, and config changes are auditable, signed, and tamper-evident.</w:t>
      </w:r>
    </w:p>
    <w:p>
      <w:pPr>
        <w:pStyle w:val="ListParagraph"/>
        <w:numPr>
          <w:ilvl w:val="0"/>
          <w:numId w:val="2"/>
        </w:numPr>
        <w:spacing w:after="60"/>
      </w:pPr>
      <w:r>
        <w:t xml:space="preserve">HQ has fleet-wide visibility (opt-in) without exposing PII or business data.</w:t>
      </w:r>
    </w:p>
    <w:p>
      <w:pPr>
        <w:pStyle w:val="ListParagraph"/>
        <w:numPr>
          <w:ilvl w:val="0"/>
          <w:numId w:val="2"/>
        </w:numPr>
        <w:spacing w:after="60"/>
      </w:pPr>
      <w:r>
        <w:t xml:space="preserve">Compliance posture: SLSA L3, STRIDE-modeled, multi-locale, key-escrowed, and DR-rehearsed quarterly.</w:t>
      </w:r>
    </w:p>
    <w:p>
      <w:pPr>
        <w:spacing w:after="60" w:before="120"/>
        <w:jc w:val="center"/>
      </w:pPr>
      <w:r>
        <w:drawing>
          <wp:inline distT="0" distB="0" distL="0" distR="0">
            <wp:extent cx="5905500" cy="3429000"/>
            <wp:effectExtent t="0" r="0" b="0" l="0"/>
            <wp:docPr id="1" name="01_overview" descr="ePACS Offline Installer — High-Level Architecture (PACS site, NLDR central, governed media supply chain)" title="ePACS Offline Installer — High-Level Architecture (PACS site, NLDR central, governed media supply 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429000"/>
                    </a:xfrm>
                    <a:prstGeom prst="rect">
                      <a:avLst/>
                    </a:prstGeom>
                  </pic:spPr>
                </pic:pic>
              </a:graphicData>
            </a:graphic>
          </wp:inline>
        </w:drawing>
      </w:r>
    </w:p>
    <w:p>
      <w:pPr>
        <w:spacing w:after="200"/>
        <w:jc w:val="center"/>
      </w:pPr>
      <w:r>
        <w:rPr>
          <w:b/>
          <w:bCs/>
          <w:i/>
          <w:iCs/>
          <w:color w:val="4A5568"/>
          <w:sz w:val="18"/>
          <w:szCs w:val="18"/>
        </w:rPr>
        <w:t xml:space="preserve">Figure: </w:t>
      </w:r>
      <w:r>
        <w:rPr>
          <w:i/>
          <w:iCs/>
          <w:color w:val="4A5568"/>
          <w:sz w:val="18"/>
          <w:szCs w:val="18"/>
        </w:rPr>
        <w:t xml:space="preserve">ePACS Offline Installer — High-Level Architecture (PACS site, NLDR central, governed media supply chain)</w:t>
      </w:r>
    </w:p>
    <w:p>
      <w:pPr>
        <w:pStyle w:val="Heading1"/>
        <w:pageBreakBefore/>
        <w:spacing w:after="200" w:before="360"/>
      </w:pPr>
      <w:r>
        <w:rPr>
          <w:b/>
          <w:bCs/>
          <w:color w:val="1A365D"/>
          <w:sz w:val="32"/>
          <w:szCs w:val="32"/>
        </w:rPr>
        <w:t xml:space="preserve">2. Problem Statement</w:t>
      </w:r>
    </w:p>
    <w:p>
      <w:pPr>
        <w:pStyle w:val="Heading2"/>
        <w:spacing w:after="160" w:before="280"/>
      </w:pPr>
      <w:r>
        <w:rPr>
          <w:b/>
          <w:bCs/>
          <w:color w:val="1A365D"/>
          <w:sz w:val="26"/>
          <w:szCs w:val="26"/>
        </w:rPr>
        <w:t xml:space="preserve">2.1 Operating context</w:t>
      </w:r>
    </w:p>
    <w:p>
      <w:pPr>
        <w:spacing w:after="120" w:line="280"/>
      </w:pPr>
      <w:r>
        <w:t xml:space="preserve">PACS sites are typically rural cooperative banks that operate one to twenty users, run on Windows 10/11 Pro or Windows Server 2019/2022 hardware ranging from 8 GB RAM small-PACS hosts up to 32 GB RAM DCCB hub machines. Many sites face daily power outages, intermittent 4G connectivity, ambient temperatures of 35–45 °C, monsoon humidity, and operators with limited technical training. UPS coverage is recommended but not guaranteed. Internet connectivity is opportunistic; some sites are effectively air-gapped for extended periods.</w:t>
      </w:r>
    </w:p>
    <w:p>
      <w:pPr>
        <w:pStyle w:val="Heading2"/>
        <w:spacing w:after="160" w:before="280"/>
      </w:pPr>
      <w:r>
        <w:rPr>
          <w:b/>
          <w:bCs/>
          <w:color w:val="1A365D"/>
          <w:sz w:val="26"/>
          <w:szCs w:val="26"/>
        </w:rPr>
        <w:t xml:space="preserve">2.2 The core challenges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Challenge</w:t>
            </w:r>
          </w:p>
        </w:tc>
        <w:tc>
          <w:tcPr>
            <w:tcW w:type="dxa" w:w="63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Why it matters</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Offline-first authority</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Local MySQL must remain the source of truth for business; NLDR sync cannot be a critical path for daily operations.</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Governed installation</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Every install/upgrade affects regulatory data; must be signed, verified, audit-trailed, and reversible.</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Media-borne distribution</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USB courier is the only reliable channel to many sites; installer must verify integrity end-to-end.</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Power-cut tolerance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Any operation can be interrupted by power loss; nothing should leave the system in an unrecoverable state.</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Schema evolution at scale</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1,057 tables, 81 FKs, 4,556 LOB columns, mixed charsets; upgrades must run in minutes-to-hours, not days.</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Large datasets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100+ GB datasets at DCCB hubs; logical dump-reload is impractical; physical incremental needed.</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Schema drift</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Hundreds of nodes accumulate manual DDL fixes; upgrades must detect and refuse breaking drift.</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Compliance and audit</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Every business change, override, sync conflict, and operator action must be tamper-evidently logged.</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Supply-chain integrity</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EV signing alone is insufficient; build pipeline itself must be provenance-attested (SLSA L3).</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Field operator UX</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Operators must succeed without engineering assistance; silent installs and one-click diagnostics.</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Localization</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Indic scripts (Hindi, Marathi, Telugu, Tamil) must roundtrip without corruption.</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Restore-to-new-machine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Hardware failures require restore on different machines — including cross-profile restores.</w:t>
            </w:r>
          </w:p>
        </w:tc>
      </w:tr>
    </w:tbl>
    <w:p>
      <w:pPr>
        <w:pStyle w:val="Heading2"/>
        <w:spacing w:after="160" w:before="280"/>
      </w:pPr>
      <w:r>
        <w:rPr>
          <w:b/>
          <w:bCs/>
          <w:color w:val="1A365D"/>
          <w:sz w:val="26"/>
          <w:szCs w:val="26"/>
        </w:rPr>
        <w:t xml:space="preserve">2.3 What the solution must NOT do</w:t>
      </w:r>
    </w:p>
    <w:p>
      <w:pPr>
        <w:pStyle w:val="ListParagraph"/>
        <w:numPr>
          <w:ilvl w:val="0"/>
          <w:numId w:val="2"/>
        </w:numPr>
        <w:spacing w:after="60"/>
      </w:pPr>
      <w:r>
        <w:t xml:space="preserve">Block business operations when NLDR is unreachable.</w:t>
      </w:r>
    </w:p>
    <w:p>
      <w:pPr>
        <w:pStyle w:val="ListParagraph"/>
        <w:numPr>
          <w:ilvl w:val="0"/>
          <w:numId w:val="2"/>
        </w:numPr>
        <w:spacing w:after="60"/>
      </w:pPr>
      <w:r>
        <w:t xml:space="preserve">Lose data on power-cut, AV interference, USB corruption, or operator error.</w:t>
      </w:r>
    </w:p>
    <w:p>
      <w:pPr>
        <w:pStyle w:val="ListParagraph"/>
        <w:numPr>
          <w:ilvl w:val="0"/>
          <w:numId w:val="2"/>
        </w:numPr>
        <w:spacing w:after="60"/>
      </w:pPr>
      <w:r>
        <w:t xml:space="preserve">Require live internet for installation, upgrade, or routine operations.</w:t>
      </w:r>
    </w:p>
    <w:p>
      <w:pPr>
        <w:pStyle w:val="ListParagraph"/>
        <w:numPr>
          <w:ilvl w:val="0"/>
          <w:numId w:val="2"/>
        </w:numPr>
        <w:spacing w:after="60"/>
      </w:pPr>
      <w:r>
        <w:t xml:space="preserve">Trust unsigned, tampered, revoked, or unrecognized installer artifacts at any stage.</w:t>
      </w:r>
    </w:p>
    <w:p>
      <w:pPr>
        <w:pStyle w:val="ListParagraph"/>
        <w:numPr>
          <w:ilvl w:val="0"/>
          <w:numId w:val="2"/>
        </w:numPr>
        <w:spacing w:after="60"/>
      </w:pPr>
      <w:r>
        <w:t xml:space="preserve">Permit destructive actions (purge, force-upgrade) without governance Override Token.</w:t>
      </w:r>
    </w:p>
    <w:p>
      <w:pPr>
        <w:pStyle w:val="ListParagraph"/>
        <w:numPr>
          <w:ilvl w:val="0"/>
          <w:numId w:val="2"/>
        </w:numPr>
        <w:spacing w:after="60"/>
      </w:pPr>
      <w:r>
        <w:t xml:space="preserve">Expose business data, secrets, or PII through fleet telemetry or support bundles.</w:t>
      </w:r>
    </w:p>
    <w:p>
      <w:pPr>
        <w:pStyle w:val="Heading2"/>
        <w:spacing w:after="160" w:before="280"/>
      </w:pPr>
      <w:r>
        <w:rPr>
          <w:b/>
          <w:bCs/>
          <w:color w:val="1A365D"/>
          <w:sz w:val="26"/>
          <w:szCs w:val="26"/>
        </w:rPr>
        <w:t xml:space="preserve">2.4 Success criteria (BRD acceptance)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AC</w:t>
            </w:r>
          </w:p>
        </w:tc>
        <w:tc>
          <w:tcPr>
            <w:tcW w:type="dxa" w:w="81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Description</w:t>
            </w:r>
          </w:p>
        </w:tc>
      </w:tr>
      <w:tr>
        <w:trPr>
          <w:tblHeader w:val="false"/>
        </w:trPr>
        <w:tc>
          <w:tcPr>
            <w:tcW w:type="dxa" w:w="12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AC-001</w:t>
            </w:r>
          </w:p>
        </w:tc>
        <w:tc>
          <w:tcPr>
            <w:tcW w:type="dxa" w:w="81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Clean offline install from a single signed package on Windows 10 / Server 2019/2022.</w:t>
            </w:r>
          </w:p>
        </w:tc>
      </w:tr>
      <w:tr>
        <w:trPr>
          <w:tblHeader w:val="false"/>
        </w:trP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AC-002</w:t>
            </w:r>
          </w:p>
        </w:tc>
        <w:tc>
          <w:tcPr>
            <w:tcW w:type="dxa" w:w="8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Installer refuses unsigned or tampered packages.</w:t>
            </w:r>
          </w:p>
        </w:tc>
      </w:tr>
      <w:tr>
        <w:trPr>
          <w:tblHeader w:val="false"/>
        </w:trPr>
        <w:tc>
          <w:tcPr>
            <w:tcW w:type="dxa" w:w="12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AC-003</w:t>
            </w:r>
          </w:p>
        </w:tc>
        <w:tc>
          <w:tcPr>
            <w:tcW w:type="dxa" w:w="81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Fresh install creates the data root with correct ACLs.</w:t>
            </w:r>
          </w:p>
        </w:tc>
      </w:tr>
      <w:tr>
        <w:trPr>
          <w:tblHeader w:val="false"/>
        </w:trP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AC-004</w:t>
            </w:r>
          </w:p>
        </w:tc>
        <w:tc>
          <w:tcPr>
            <w:tcW w:type="dxa" w:w="8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All health endpoints report expected stack and schema versions.</w:t>
            </w:r>
          </w:p>
        </w:tc>
      </w:tr>
      <w:tr>
        <w:trPr>
          <w:tblHeader w:val="false"/>
        </w:trPr>
        <w:tc>
          <w:tcPr>
            <w:tcW w:type="dxa" w:w="12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AC-005</w:t>
            </w:r>
          </w:p>
        </w:tc>
        <w:tc>
          <w:tcPr>
            <w:tcW w:type="dxa" w:w="81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Upgrade creates a verified backup before migration.</w:t>
            </w:r>
          </w:p>
        </w:tc>
      </w:tr>
      <w:tr>
        <w:trPr>
          <w:tblHeader w:val="false"/>
        </w:trP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AC-006</w:t>
            </w:r>
          </w:p>
        </w:tc>
        <w:tc>
          <w:tcPr>
            <w:tcW w:type="dxa" w:w="8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Upgrade failure triggers rollback or locked recovery state with support bundle.</w:t>
            </w:r>
          </w:p>
        </w:tc>
      </w:tr>
      <w:tr>
        <w:trPr>
          <w:tblHeader w:val="false"/>
        </w:trPr>
        <w:tc>
          <w:tcPr>
            <w:tcW w:type="dxa" w:w="12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AC-007</w:t>
            </w:r>
          </w:p>
        </w:tc>
        <w:tc>
          <w:tcPr>
            <w:tcW w:type="dxa" w:w="81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Uninstall preserves data by default; purge requires governance token.</w:t>
            </w:r>
          </w:p>
        </w:tc>
      </w:tr>
      <w:tr>
        <w:trPr>
          <w:tblHeader w:val="false"/>
        </w:trP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AC-008</w:t>
            </w:r>
          </w:p>
        </w:tc>
        <w:tc>
          <w:tcPr>
            <w:tcW w:type="dxa" w:w="8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Restore from encrypted backup succeeds on clean machine with recovery cert.</w:t>
            </w:r>
          </w:p>
        </w:tc>
      </w:tr>
      <w:tr>
        <w:trPr>
          <w:tblHeader w:val="false"/>
        </w:trPr>
        <w:tc>
          <w:tcPr>
            <w:tcW w:type="dxa" w:w="12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AC-009</w:t>
            </w:r>
          </w:p>
        </w:tc>
        <w:tc>
          <w:tcPr>
            <w:tcW w:type="dxa" w:w="81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Local transactions continue while NLDR is unreachable.</w:t>
            </w:r>
          </w:p>
        </w:tc>
      </w:tr>
      <w:tr>
        <w:trPr>
          <w:tblHeader w:val="false"/>
        </w:trP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AC-010</w:t>
            </w:r>
          </w:p>
        </w:tc>
        <w:tc>
          <w:tcPr>
            <w:tcW w:type="dxa" w:w="8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Sync resumes without duplicates after reconnection.</w:t>
            </w:r>
          </w:p>
        </w:tc>
      </w:tr>
      <w:tr>
        <w:trPr>
          <w:tblHeader w:val="false"/>
        </w:trPr>
        <w:tc>
          <w:tcPr>
            <w:tcW w:type="dxa" w:w="12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AC-011</w:t>
            </w:r>
          </w:p>
        </w:tc>
        <w:tc>
          <w:tcPr>
            <w:tcW w:type="dxa" w:w="81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DB, cache, and eventing ports are localhost-only.</w:t>
            </w:r>
          </w:p>
        </w:tc>
      </w:tr>
      <w:tr>
        <w:trPr>
          <w:tblHeader w:val="false"/>
        </w:trP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AC-012</w:t>
            </w:r>
          </w:p>
        </w:tc>
        <w:tc>
          <w:tcPr>
            <w:tcW w:type="dxa" w:w="8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Support bundle contains diagnostics with no plaintext secrets.</w:t>
            </w:r>
          </w:p>
        </w:tc>
      </w:tr>
    </w:tbl>
    <w:p>
      <w:pPr>
        <w:pStyle w:val="Heading1"/>
        <w:pageBreakBefore/>
        <w:spacing w:after="200" w:before="360"/>
      </w:pPr>
      <w:r>
        <w:rPr>
          <w:b/>
          <w:bCs/>
          <w:color w:val="1A365D"/>
          <w:sz w:val="32"/>
          <w:szCs w:val="32"/>
        </w:rPr>
        <w:t xml:space="preserve">3. The Solution Components</w:t>
      </w:r>
    </w:p>
    <w:p>
      <w:pPr>
        <w:spacing w:after="200" w:line="280"/>
      </w:pPr>
      <w:r>
        <w:t xml:space="preserve">The ePACS solution is composed of three concentric tiers — the runtime stack on each PACS node, the installer and operational agent that govern the runtime, and the central NLDR / NLPSV services that anchor governance, sync, and fleet visibility. Each component is interface-driven for substitutability, fault-isolated, and individually testable.</w:t>
      </w:r>
    </w:p>
    <w:p>
      <w:pPr>
        <w:spacing w:after="60" w:before="120"/>
        <w:jc w:val="center"/>
      </w:pPr>
      <w:r>
        <w:drawing>
          <wp:inline distT="0" distB="0" distL="0" distR="0">
            <wp:extent cx="5905500" cy="3429000"/>
            <wp:effectExtent t="0" r="0" b="0" l="0"/>
            <wp:docPr id="1" name="02_topology" descr="Per-PACS Deployment Topology — Services, Ports, Filesystem Layout, ACL baseline" title="Per-PACS Deployment Topology — Services, Ports, Filesystem Layout, ACL bas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429000"/>
                    </a:xfrm>
                    <a:prstGeom prst="rect">
                      <a:avLst/>
                    </a:prstGeom>
                  </pic:spPr>
                </pic:pic>
              </a:graphicData>
            </a:graphic>
          </wp:inline>
        </w:drawing>
      </w:r>
    </w:p>
    <w:p>
      <w:pPr>
        <w:spacing w:after="200"/>
        <w:jc w:val="center"/>
      </w:pPr>
      <w:r>
        <w:rPr>
          <w:b/>
          <w:bCs/>
          <w:i/>
          <w:iCs/>
          <w:color w:val="4A5568"/>
          <w:sz w:val="18"/>
          <w:szCs w:val="18"/>
        </w:rPr>
        <w:t xml:space="preserve">Figure: </w:t>
      </w:r>
      <w:r>
        <w:rPr>
          <w:i/>
          <w:iCs/>
          <w:color w:val="4A5568"/>
          <w:sz w:val="18"/>
          <w:szCs w:val="18"/>
        </w:rPr>
        <w:t xml:space="preserve">Per-PACS Deployment Topology — Services, Ports, Filesystem Layout, ACL baseline</w:t>
      </w:r>
    </w:p>
    <w:p>
      <w:pPr>
        <w:pStyle w:val="Heading2"/>
        <w:spacing w:after="160" w:before="280"/>
      </w:pPr>
      <w:r>
        <w:rPr>
          <w:b/>
          <w:bCs/>
          <w:color w:val="1A365D"/>
          <w:sz w:val="26"/>
          <w:szCs w:val="26"/>
        </w:rPr>
        <w:t xml:space="preserve">3.1 Runtime services on the PACS node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Service</w:t>
            </w:r>
          </w:p>
        </w:tc>
        <w:tc>
          <w:tcPr>
            <w:tcW w:type="dxa" w:w="18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Tech</w:t>
            </w:r>
          </w:p>
        </w:tc>
        <w:tc>
          <w:tcPr>
            <w:tcW w:type="dxa" w:w="51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Purpose</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ePACSMySQL</w:t>
            </w:r>
          </w:p>
        </w:tc>
        <w:tc>
          <w:tcPr>
            <w:tcW w:type="dxa" w:w="18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MySQL 8.4 LTS</w:t>
            </w:r>
          </w:p>
        </w:tc>
        <w:tc>
          <w:tcPr>
            <w:tcW w:type="dxa" w:w="51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Single source of truth for business data, audit, sync outbox/inbox checkpoints. Localhost-only port 3306.</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ePACSCache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Microsoft Garnet</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In-memory cache for session state and lookups. ICache abstraction (Redis fallback). Localhost-only 6379.</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ePACSEventing</w:t>
            </w:r>
          </w:p>
        </w:tc>
        <w:tc>
          <w:tcPr>
            <w:tcW w:type="dxa" w:w="18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Kafka 3.7 KRaft</w:t>
            </w:r>
          </w:p>
        </w:tc>
        <w:tc>
          <w:tcPr>
            <w:tcW w:type="dxa" w:w="51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Local event transport for outbox-relay → sync-agent decoupling. KRaft mode (no ZK). Localhost-only 9092.</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ePACSWeb</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Kestrel</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Operator and member UI; HTTPS on PACS LAN. No IIS. Health and sync-conflict pages.</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Business Services</w:t>
            </w:r>
          </w:p>
        </w:tc>
        <w:tc>
          <w:tcPr>
            <w:tcW w:type="dxa" w:w="18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ASP.NET Core 8</w:t>
            </w:r>
          </w:p>
        </w:tc>
        <w:tc>
          <w:tcPr>
            <w:tcW w:type="dxa" w:w="51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Loans, FAS, Membership, Trade, PDS, Audit, Asset, HRMS, etc. — internal HTTP with mTLS.</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ePACSSync</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Sync.Agent</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Outbox.Relay (MySQL→Kafka), InboxProcessor (NLDR→PACS), ReconciliationEngine, ConnectivityMonitor.</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ePACSInstallerAgent</w:t>
            </w:r>
          </w:p>
        </w:tc>
        <w:tc>
          <w:tcPr>
            <w:tcW w:type="dxa" w:w="18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.NET 8 Worker</w:t>
            </w:r>
          </w:p>
        </w:tc>
        <w:tc>
          <w:tcPr>
            <w:tcW w:type="dxa" w:w="51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Watchdog: Health, Drift, Disk, Logs, Backup orchestration, FileSync, Heartbeat, Cert/Time monitors.</w:t>
            </w:r>
          </w:p>
        </w:tc>
      </w:tr>
    </w:tbl>
    <w:p>
      <w:pPr>
        <w:pStyle w:val="Heading2"/>
        <w:spacing w:after="160" w:before="280"/>
      </w:pPr>
      <w:r>
        <w:rPr>
          <w:b/>
          <w:bCs/>
          <w:color w:val="1A365D"/>
          <w:sz w:val="26"/>
          <w:szCs w:val="26"/>
        </w:rPr>
        <w:t xml:space="preserve">3.2 Installer and lifecycle modes</w:t>
      </w:r>
    </w:p>
    <w:p>
      <w:pPr>
        <w:spacing w:after="120" w:line="280"/>
      </w:pPr>
      <w:r>
        <w:t xml:space="preserve">The Installer is a single signed Windows bootstrapper with multiple modes detected by CLI arguments and host state. All modes share VERIFY → PRECHECK common steps. Each mode has explicit rollback semantics.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Mode</w:t>
            </w:r>
          </w:p>
        </w:tc>
        <w:tc>
          <w:tcPr>
            <w:tcW w:type="dxa" w:w="73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Behavior</w:t>
            </w:r>
          </w:p>
        </w:tc>
      </w:tr>
      <w:tr>
        <w:trPr>
          <w:tblHeader w:val="false"/>
        </w:trPr>
        <w:tc>
          <w:tcPr>
            <w:tcW w:type="dxa" w:w="2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INSTALL</w:t>
            </w:r>
          </w:p>
        </w:tc>
        <w:tc>
          <w:tcPr>
            <w:tcW w:type="dxa" w:w="7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Fresh install on clean machine. Creates data root, ACLs, services, generates configs from .epcfg, applies firewall, AV exclusions, root-CA bundle, runs first-time DB init, smoke test.</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UPGRADE</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Side-by-side default. Creates pre-upgrade backup → stages new release → migrates on staging → flips junction → smoke test → on failure: roll back junction or restore backup.</w:t>
            </w:r>
          </w:p>
        </w:tc>
      </w:tr>
      <w:tr>
        <w:trPr>
          <w:tblHeader w:val="false"/>
        </w:trPr>
        <w:tc>
          <w:tcPr>
            <w:tcW w:type="dxa" w:w="2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REPAIR</w:t>
            </w:r>
          </w:p>
        </w:tc>
        <w:tc>
          <w:tcPr>
            <w:tcW w:type="dxa" w:w="7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Verifies all payload hashes against manifest; replaces mismatched binaries; regenerates configs from current registry; re-applies ACLs; restarts services. Does not touch data.</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BACKUP</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Operator- or schedule-triggered. Tier 1/2/3/4 selectable. Encrypted, signed manifest, chain-attested (G87).</w:t>
            </w:r>
          </w:p>
        </w:tc>
      </w:tr>
      <w:tr>
        <w:trPr>
          <w:tblHeader w:val="false"/>
        </w:trPr>
        <w:tc>
          <w:tcPr>
            <w:tcW w:type="dxa" w:w="2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RESTORE</w:t>
            </w:r>
          </w:p>
        </w:tc>
        <w:tc>
          <w:tcPr>
            <w:tcW w:type="dxa" w:w="7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Verify package + chain → safety backup of current → stop services → restore staging → validate fingerprint → cutover → smoke. Cross-profile aware (G85).</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UNINSTALL</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Stops services in reverse order, removes binaries from C:\Program Files\ePACS\, preserves D:\ePACSData\ by default. Purge requires Override Token + typed confirmation.</w:t>
            </w:r>
          </w:p>
        </w:tc>
      </w:tr>
      <w:tr>
        <w:trPr>
          <w:tblHeader w:val="false"/>
        </w:trPr>
        <w:tc>
          <w:tcPr>
            <w:tcW w:type="dxa" w:w="2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HOTFIX</w:t>
            </w:r>
          </w:p>
        </w:tc>
        <w:tc>
          <w:tcPr>
            <w:tcW w:type="dxa" w:w="7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Tiny signed package replacing only specified binaries. No schema migration. Stops only affected services. Target downtime &lt; 5 min.</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SELF-UPDATE</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Installer-only patch (G64). N → N+1 only. Major upgrades remain USB-delivered.</w:t>
            </w:r>
          </w:p>
        </w:tc>
      </w:tr>
    </w:tbl>
    <w:p>
      <w:pPr>
        <w:pStyle w:val="Heading2"/>
        <w:spacing w:after="160" w:before="280"/>
      </w:pPr>
      <w:r>
        <w:rPr>
          <w:b/>
          <w:bCs/>
          <w:color w:val="1A365D"/>
          <w:sz w:val="26"/>
          <w:szCs w:val="26"/>
        </w:rPr>
        <w:t xml:space="preserve">3.3 Cross-cutting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Component</w:t>
            </w:r>
          </w:p>
        </w:tc>
        <w:tc>
          <w:tcPr>
            <w:tcW w:type="dxa" w:w="69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Role</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ManifestVerifier</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Parse, hash-verify, and signature-verify release-manifest.yaml; ATA cross-check; SBOM cross-check at install time.</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BackupRestore</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Tiered backup engine, restore engine, XtraBackup integration, chain attestation (G87), adaptive retention (G84).</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SupportBundle</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Diagnostic collector with secret redaction, network probes, last-N sync attempts, system snapshot.</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SharedKernel</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Contracts, Configuration options, Security primitives (ICodeSigner, IAclEngine, ISecretStore, IAuditChain, IFirewallManager), ErrorHandling factory.</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Installer.Diagnostics.Ping</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epacs-ping.exe — operator one-shot end-to-end health check (G80).</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Traceability module</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Compliance-grade audit DB (erp_traceability, 11 tables, ULID PKs, partitioned by month, geo-tagged, anomaly rules).</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State Federation Portal (NLPSV-side)</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Issues per-site encrypted .epcfg with TTL and nonce.</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Release CA (NLPSV-side)</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Signs releases, ATA, manifests, recovery certs; dual-custody escrow.</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CoopsIndia Dashboard (NLPSV-side)</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Receives heartbeats and fleet manifests; HQ visibility into install state, health, sync posture.</w:t>
            </w:r>
          </w:p>
        </w:tc>
      </w:tr>
    </w:tbl>
    <w:p>
      <w:pPr>
        <w:pStyle w:val="Heading2"/>
        <w:spacing w:after="160" w:before="280"/>
      </w:pPr>
      <w:r>
        <w:rPr>
          <w:b/>
          <w:bCs/>
          <w:color w:val="1A365D"/>
          <w:sz w:val="26"/>
          <w:szCs w:val="26"/>
        </w:rPr>
        <w:t xml:space="preserve">3.4 Site Configuration Pack (.epcfg)</w:t>
      </w:r>
    </w:p>
    <w:p>
      <w:pPr>
        <w:spacing w:after="120" w:line="280"/>
      </w:pPr>
      <w:r>
        <w:t xml:space="preserve">The .epcfg is the canonical, signed, encrypted descriptor for a specific PACS site. It is issued by the State Federation Portal per installation, with a 7-day TTL and a single-use nonce, encrypted to the PACS site's public key.</w:t>
      </w:r>
    </w:p>
    <w:p>
      <w:pPr>
        <w:shd w:fill="F5F5F5" w:val="clear"/>
        <w:spacing w:after="0"/>
        <w:ind w:left="200"/>
      </w:pPr>
      <w:r>
        <w:rPr>
          <w:rFonts w:ascii="Consolas" w:cs="Consolas" w:eastAsia="Consolas" w:hAnsi="Consolas"/>
          <w:sz w:val="18"/>
          <w:szCs w:val="18"/>
        </w:rPr>
        <w:t xml:space="preserve">{</w:t>
      </w:r>
    </w:p>
    <w:p>
      <w:pPr>
        <w:shd w:fill="F5F5F5" w:val="clear"/>
        <w:spacing w:after="0"/>
        <w:ind w:left="200"/>
      </w:pPr>
      <w:r>
        <w:rPr>
          <w:rFonts w:ascii="Consolas" w:cs="Consolas" w:eastAsia="Consolas" w:hAnsi="Consolas"/>
          <w:sz w:val="18"/>
          <w:szCs w:val="18"/>
        </w:rPr>
        <w:t xml:space="preserve">  "pacs_id": "PACS-MH-3-1234",</w:t>
      </w:r>
    </w:p>
    <w:p>
      <w:pPr>
        <w:shd w:fill="F5F5F5" w:val="clear"/>
        <w:spacing w:after="0"/>
        <w:ind w:left="200"/>
      </w:pPr>
      <w:r>
        <w:rPr>
          <w:rFonts w:ascii="Consolas" w:cs="Consolas" w:eastAsia="Consolas" w:hAnsi="Consolas"/>
          <w:sz w:val="18"/>
          <w:szCs w:val="18"/>
        </w:rPr>
        <w:t xml:space="preserve">  "state_code": "MH",</w:t>
      </w:r>
    </w:p>
    <w:p>
      <w:pPr>
        <w:shd w:fill="F5F5F5" w:val="clear"/>
        <w:spacing w:after="0"/>
        <w:ind w:left="200"/>
      </w:pPr>
      <w:r>
        <w:rPr>
          <w:rFonts w:ascii="Consolas" w:cs="Consolas" w:eastAsia="Consolas" w:hAnsi="Consolas"/>
          <w:sz w:val="18"/>
          <w:szCs w:val="18"/>
        </w:rPr>
        <w:t xml:space="preserve">  "language": "hi-IN",</w:t>
      </w:r>
    </w:p>
    <w:p>
      <w:pPr>
        <w:shd w:fill="F5F5F5" w:val="clear"/>
        <w:spacing w:after="0"/>
        <w:ind w:left="200"/>
      </w:pPr>
      <w:r>
        <w:rPr>
          <w:rFonts w:ascii="Consolas" w:cs="Consolas" w:eastAsia="Consolas" w:hAnsi="Consolas"/>
          <w:sz w:val="18"/>
          <w:szCs w:val="18"/>
        </w:rPr>
        <w:t xml:space="preserve">  "data_root": "D:\\ePACSData",</w:t>
      </w:r>
    </w:p>
    <w:p>
      <w:pPr>
        <w:shd w:fill="F5F5F5" w:val="clear"/>
        <w:spacing w:after="0"/>
        <w:ind w:left="200"/>
      </w:pPr>
      <w:r>
        <w:rPr>
          <w:rFonts w:ascii="Consolas" w:cs="Consolas" w:eastAsia="Consolas" w:hAnsi="Consolas"/>
          <w:sz w:val="18"/>
          <w:szCs w:val="18"/>
        </w:rPr>
        <w:t xml:space="preserve">  "nldr_endpoint": "https://nldr-mh.coopsindia.gov.in",</w:t>
      </w:r>
    </w:p>
    <w:p>
      <w:pPr>
        <w:shd w:fill="F5F5F5" w:val="clear"/>
        <w:spacing w:after="0"/>
        <w:ind w:left="200"/>
      </w:pPr>
      <w:r>
        <w:rPr>
          <w:rFonts w:ascii="Consolas" w:cs="Consolas" w:eastAsia="Consolas" w:hAnsi="Consolas"/>
          <w:sz w:val="18"/>
          <w:szCs w:val="18"/>
        </w:rPr>
        <w:t xml:space="preserve">  "nldr_client_cert_thumbprint": "&lt;sha1&gt;",</w:t>
      </w:r>
    </w:p>
    <w:p>
      <w:pPr>
        <w:shd w:fill="F5F5F5" w:val="clear"/>
        <w:spacing w:after="0"/>
        <w:ind w:left="200"/>
      </w:pPr>
      <w:r>
        <w:rPr>
          <w:rFonts w:ascii="Consolas" w:cs="Consolas" w:eastAsia="Consolas" w:hAnsi="Consolas"/>
          <w:sz w:val="18"/>
          <w:szCs w:val="18"/>
        </w:rPr>
        <w:t xml:space="preserve">  "backup_targets": ["D:\\ePACSData\\backups", "E:\\PACS-USB"],</w:t>
      </w:r>
    </w:p>
    <w:p>
      <w:pPr>
        <w:shd w:fill="F5F5F5" w:val="clear"/>
        <w:spacing w:after="0"/>
        <w:ind w:left="200"/>
      </w:pPr>
      <w:r>
        <w:rPr>
          <w:rFonts w:ascii="Consolas" w:cs="Consolas" w:eastAsia="Consolas" w:hAnsi="Consolas"/>
          <w:sz w:val="18"/>
          <w:szCs w:val="18"/>
        </w:rPr>
        <w:t xml:space="preserve">  "backup_schedule": { "daily": "02:00", "weekly_day": "Sun", "weekly_time": "03:00" },</w:t>
      </w:r>
    </w:p>
    <w:p>
      <w:pPr>
        <w:shd w:fill="F5F5F5" w:val="clear"/>
        <w:spacing w:after="0"/>
        <w:ind w:left="200"/>
      </w:pPr>
      <w:r>
        <w:rPr>
          <w:rFonts w:ascii="Consolas" w:cs="Consolas" w:eastAsia="Consolas" w:hAnsi="Consolas"/>
          <w:sz w:val="18"/>
          <w:szCs w:val="18"/>
        </w:rPr>
        <w:t xml:space="preserve">  "site_coordinates": { "latitude": 16.5062, "longitude": 80.6480, "accuracy_meters": 50 },</w:t>
      </w:r>
    </w:p>
    <w:p>
      <w:pPr>
        <w:shd w:fill="F5F5F5" w:val="clear"/>
        <w:spacing w:after="0"/>
        <w:ind w:left="200"/>
      </w:pPr>
      <w:r>
        <w:rPr>
          <w:rFonts w:ascii="Consolas" w:cs="Consolas" w:eastAsia="Consolas" w:hAnsi="Consolas"/>
          <w:sz w:val="18"/>
          <w:szCs w:val="18"/>
        </w:rPr>
        <w:t xml:space="preserve">  "anomaly_overrides": { "AN-01": "Disabled", "AN-05": { "start": "07:00", "end": "20:00" } },</w:t>
      </w:r>
    </w:p>
    <w:p>
      <w:pPr>
        <w:shd w:fill="F5F5F5" w:val="clear"/>
        <w:spacing w:after="0"/>
        <w:ind w:left="200"/>
      </w:pPr>
      <w:r>
        <w:rPr>
          <w:rFonts w:ascii="Consolas" w:cs="Consolas" w:eastAsia="Consolas" w:hAnsi="Consolas"/>
          <w:sz w:val="18"/>
          <w:szCs w:val="18"/>
        </w:rPr>
        <w:t xml:space="preserve">  "fleet_manifest_optin": false,</w:t>
      </w:r>
    </w:p>
    <w:p>
      <w:pPr>
        <w:shd w:fill="F5F5F5" w:val="clear"/>
        <w:spacing w:after="0"/>
        <w:ind w:left="200"/>
      </w:pPr>
      <w:r>
        <w:rPr>
          <w:rFonts w:ascii="Consolas" w:cs="Consolas" w:eastAsia="Consolas" w:hAnsi="Consolas"/>
          <w:sz w:val="18"/>
          <w:szCs w:val="18"/>
        </w:rPr>
        <w:t xml:space="preserve">  "nonce": "...",</w:t>
      </w:r>
    </w:p>
    <w:p>
      <w:pPr>
        <w:shd w:fill="F5F5F5" w:val="clear"/>
        <w:spacing w:after="0"/>
        <w:ind w:left="200"/>
      </w:pPr>
      <w:r>
        <w:rPr>
          <w:rFonts w:ascii="Consolas" w:cs="Consolas" w:eastAsia="Consolas" w:hAnsi="Consolas"/>
          <w:sz w:val="18"/>
          <w:szCs w:val="18"/>
        </w:rPr>
        <w:t xml:space="preserve">  "issued_at": "2026-04-29T10:00:00Z",</w:t>
      </w:r>
    </w:p>
    <w:p>
      <w:pPr>
        <w:shd w:fill="F5F5F5" w:val="clear"/>
        <w:spacing w:after="0"/>
        <w:ind w:left="200"/>
      </w:pPr>
      <w:r>
        <w:rPr>
          <w:rFonts w:ascii="Consolas" w:cs="Consolas" w:eastAsia="Consolas" w:hAnsi="Consolas"/>
          <w:sz w:val="18"/>
          <w:szCs w:val="18"/>
        </w:rPr>
        <w:t xml:space="preserve">  "expires_at": "2026-05-06T10:00:00Z"</w:t>
      </w:r>
    </w:p>
    <w:p>
      <w:pPr>
        <w:shd w:fill="F5F5F5" w:val="clear"/>
        <w:spacing w:after="0"/>
        <w:ind w:left="200"/>
      </w:pPr>
      <w:r>
        <w:rPr>
          <w:rFonts w:ascii="Consolas" w:cs="Consolas" w:eastAsia="Consolas" w:hAnsi="Consolas"/>
          <w:sz w:val="18"/>
          <w:szCs w:val="18"/>
        </w:rPr>
        <w:t xml:space="preserve">}</w:t>
      </w:r>
    </w:p>
    <w:p>
      <w:pPr>
        <w:pStyle w:val="Heading1"/>
        <w:pageBreakBefore/>
        <w:spacing w:after="200" w:before="360"/>
      </w:pPr>
      <w:r>
        <w:rPr>
          <w:b/>
          <w:bCs/>
          <w:color w:val="1A365D"/>
          <w:sz w:val="32"/>
          <w:szCs w:val="32"/>
        </w:rPr>
        <w:t xml:space="preserve">4. Architecture and Design</w:t>
      </w:r>
    </w:p>
    <w:p>
      <w:pPr>
        <w:pStyle w:val="Heading2"/>
        <w:spacing w:after="160" w:before="280"/>
      </w:pPr>
      <w:r>
        <w:rPr>
          <w:b/>
          <w:bCs/>
          <w:color w:val="1A365D"/>
          <w:sz w:val="26"/>
          <w:szCs w:val="26"/>
        </w:rPr>
        <w:t xml:space="preserve">4.1 Architectural style</w:t>
      </w:r>
    </w:p>
    <w:p>
      <w:pPr>
        <w:spacing w:after="120" w:line="280"/>
      </w:pPr>
      <w:r>
        <w:t xml:space="preserve">The architecture is best characterized as a governed, signed, offline-capable distributed system with a strong transactional core. Specifically:</w:t>
      </w:r>
    </w:p>
    <w:p>
      <w:pPr>
        <w:pStyle w:val="ListParagraph"/>
        <w:numPr>
          <w:ilvl w:val="0"/>
          <w:numId w:val="2"/>
        </w:numPr>
        <w:spacing w:after="60"/>
      </w:pPr>
      <w:r>
        <w:t xml:space="preserve">Hexagonal at the service level — domain logic isolated behind ports (ISyncTransport, ICache, ICodeSigner, IFileSyncTransport, IAuditChain).</w:t>
      </w:r>
    </w:p>
    <w:p>
      <w:pPr>
        <w:pStyle w:val="ListParagraph"/>
        <w:numPr>
          <w:ilvl w:val="0"/>
          <w:numId w:val="2"/>
        </w:numPr>
        <w:spacing w:after="60"/>
      </w:pPr>
      <w:r>
        <w:t xml:space="preserve">Outbox pattern for sync — MySQL is the system of record; Kafka is transport; NLDR is destination.</w:t>
      </w:r>
    </w:p>
    <w:p>
      <w:pPr>
        <w:pStyle w:val="ListParagraph"/>
        <w:numPr>
          <w:ilvl w:val="0"/>
          <w:numId w:val="2"/>
        </w:numPr>
        <w:spacing w:after="60"/>
      </w:pPr>
      <w:r>
        <w:t xml:space="preserve">Backend for Frontend (BFF) for ePACS Web — Kestrel surface composes business services.</w:t>
      </w:r>
    </w:p>
    <w:p>
      <w:pPr>
        <w:pStyle w:val="ListParagraph"/>
        <w:numPr>
          <w:ilvl w:val="0"/>
          <w:numId w:val="2"/>
        </w:numPr>
        <w:spacing w:after="60"/>
      </w:pPr>
      <w:r>
        <w:t xml:space="preserve">Workers and watchdogs — Sync.Agent, Outbox.Relay, Installer.Agent run as Windows services.</w:t>
      </w:r>
    </w:p>
    <w:p>
      <w:pPr>
        <w:pStyle w:val="ListParagraph"/>
        <w:numPr>
          <w:ilvl w:val="0"/>
          <w:numId w:val="2"/>
        </w:numPr>
        <w:spacing w:after="60"/>
      </w:pPr>
      <w:r>
        <w:t xml:space="preserve">Side-by-side immutable releases — junction-flip enables atomic upgrade and reversible rollback.</w:t>
      </w:r>
    </w:p>
    <w:p>
      <w:pPr>
        <w:pStyle w:val="ListParagraph"/>
        <w:numPr>
          <w:ilvl w:val="0"/>
          <w:numId w:val="2"/>
        </w:numPr>
        <w:spacing w:after="60"/>
      </w:pPr>
      <w:r>
        <w:t xml:space="preserve">Defense-in-depth security — seven layers from physical to operational.</w:t>
      </w:r>
    </w:p>
    <w:p>
      <w:pPr>
        <w:pStyle w:val="Heading2"/>
        <w:spacing w:after="160" w:before="280"/>
      </w:pPr>
      <w:r>
        <w:rPr>
          <w:b/>
          <w:bCs/>
          <w:color w:val="1A365D"/>
          <w:sz w:val="26"/>
          <w:szCs w:val="26"/>
        </w:rPr>
        <w:t xml:space="preserve">4.2 Installer state machine</w:t>
      </w:r>
    </w:p>
    <w:p>
      <w:pPr>
        <w:spacing w:after="120" w:line="280"/>
      </w:pPr>
      <w:r>
        <w:t xml:space="preserve">The installer state machine is the operational backbone. Every transition writes a durable checkpoint to D:\ePACSData\installer\state.json before proceeding. On restart after a power-cut, the installer reads state.json and enters RECOVERY mode, resuming from the last committed phase. This invariant is what makes the installer safe to interrupt at any point.</w:t>
      </w:r>
    </w:p>
    <w:p>
      <w:pPr>
        <w:spacing w:after="60" w:before="120"/>
        <w:jc w:val="center"/>
      </w:pPr>
      <w:r>
        <w:drawing>
          <wp:inline distT="0" distB="0" distL="0" distR="0">
            <wp:extent cx="5905500" cy="3429000"/>
            <wp:effectExtent t="0" r="0" b="0" l="0"/>
            <wp:docPr id="1" name="03_state_machine" descr="Installer State Machine — Mode Detection, Common Path, and Recovery" title="Installer State Machine — Mode Detection, Common Path, and Reco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429000"/>
                    </a:xfrm>
                    <a:prstGeom prst="rect">
                      <a:avLst/>
                    </a:prstGeom>
                  </pic:spPr>
                </pic:pic>
              </a:graphicData>
            </a:graphic>
          </wp:inline>
        </w:drawing>
      </w:r>
    </w:p>
    <w:p>
      <w:pPr>
        <w:spacing w:after="200"/>
        <w:jc w:val="center"/>
      </w:pPr>
      <w:r>
        <w:rPr>
          <w:b/>
          <w:bCs/>
          <w:i/>
          <w:iCs/>
          <w:color w:val="4A5568"/>
          <w:sz w:val="18"/>
          <w:szCs w:val="18"/>
        </w:rPr>
        <w:t xml:space="preserve">Figure: </w:t>
      </w:r>
      <w:r>
        <w:rPr>
          <w:i/>
          <w:iCs/>
          <w:color w:val="4A5568"/>
          <w:sz w:val="18"/>
          <w:szCs w:val="18"/>
        </w:rPr>
        <w:t xml:space="preserve">Installer State Machine — Mode Detection, Common Path, and Recovery</w:t>
      </w:r>
    </w:p>
    <w:p>
      <w:pPr>
        <w:pStyle w:val="Heading2"/>
        <w:spacing w:after="160" w:before="280"/>
      </w:pPr>
      <w:r>
        <w:rPr>
          <w:b/>
          <w:bCs/>
          <w:color w:val="1A365D"/>
          <w:sz w:val="26"/>
          <w:szCs w:val="26"/>
        </w:rPr>
        <w:t xml:space="preserve">4.3 Per-service authentication and trust boundaries</w:t>
      </w:r>
    </w:p>
    <w:p>
      <w:pPr>
        <w:spacing w:after="120" w:line="280"/>
      </w:pPr>
      <w:r>
        <w:t xml:space="preserve">Localhost-only ports protect the data plane from network attack, but localhost alone cannot prevent service-to-service abuse if any one service is compromised. Defense-in-depth (G69) adds:</w:t>
      </w:r>
    </w:p>
    <w:p>
      <w:pPr>
        <w:pStyle w:val="ListParagraph"/>
        <w:numPr>
          <w:ilvl w:val="0"/>
          <w:numId w:val="2"/>
        </w:numPr>
        <w:spacing w:after="60"/>
      </w:pPr>
      <w:r>
        <w:t xml:space="preserve">Per-service MySQL users with column-level grants — root is removed from network usage.</w:t>
      </w:r>
    </w:p>
    <w:p>
      <w:pPr>
        <w:pStyle w:val="ListParagraph"/>
        <w:numPr>
          <w:ilvl w:val="0"/>
          <w:numId w:val="2"/>
        </w:numPr>
        <w:spacing w:after="60"/>
      </w:pPr>
      <w:r>
        <w:t xml:space="preserve">Garnet AUTH password per service principal, rotated at install.</w:t>
      </w:r>
    </w:p>
    <w:p>
      <w:pPr>
        <w:pStyle w:val="ListParagraph"/>
        <w:numPr>
          <w:ilvl w:val="0"/>
          <w:numId w:val="2"/>
        </w:numPr>
        <w:spacing w:after="60"/>
      </w:pPr>
      <w:r>
        <w:t xml:space="preserve">Kafka SASL/PLAIN with per-service principals.</w:t>
      </w:r>
    </w:p>
    <w:p>
      <w:pPr>
        <w:pStyle w:val="ListParagraph"/>
        <w:numPr>
          <w:ilvl w:val="0"/>
          <w:numId w:val="2"/>
        </w:numPr>
        <w:spacing w:after="60"/>
      </w:pPr>
      <w:r>
        <w:t xml:space="preserve">Local mTLS via an installer-generated per-PACS Certificate Authority — every service has its own client cert.</w:t>
      </w:r>
    </w:p>
    <w:p>
      <w:pPr>
        <w:pStyle w:val="ListParagraph"/>
        <w:numPr>
          <w:ilvl w:val="0"/>
          <w:numId w:val="2"/>
        </w:numPr>
        <w:spacing w:after="60"/>
      </w:pPr>
      <w:r>
        <w:t xml:space="preserve">DPAPI + cert-wrapped credential cache — credentials never sit in plaintext on disk.</w:t>
      </w:r>
    </w:p>
    <w:p>
      <w:pPr>
        <w:spacing w:after="60" w:before="120"/>
        <w:jc w:val="center"/>
      </w:pPr>
      <w:r>
        <w:drawing>
          <wp:inline distT="0" distB="0" distL="0" distR="0">
            <wp:extent cx="5905500" cy="3429000"/>
            <wp:effectExtent t="0" r="0" b="0" l="0"/>
            <wp:docPr id="1" name="08_trust_boundaries" descr="Seven Trust Boundaries — STRIDE Defense in Depth" title="Seven Trust Boundaries — STRIDE Defense in Dep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429000"/>
                    </a:xfrm>
                    <a:prstGeom prst="rect">
                      <a:avLst/>
                    </a:prstGeom>
                  </pic:spPr>
                </pic:pic>
              </a:graphicData>
            </a:graphic>
          </wp:inline>
        </w:drawing>
      </w:r>
    </w:p>
    <w:p>
      <w:pPr>
        <w:spacing w:after="200"/>
        <w:jc w:val="center"/>
      </w:pPr>
      <w:r>
        <w:rPr>
          <w:b/>
          <w:bCs/>
          <w:i/>
          <w:iCs/>
          <w:color w:val="4A5568"/>
          <w:sz w:val="18"/>
          <w:szCs w:val="18"/>
        </w:rPr>
        <w:t xml:space="preserve">Figure: </w:t>
      </w:r>
      <w:r>
        <w:rPr>
          <w:i/>
          <w:iCs/>
          <w:color w:val="4A5568"/>
          <w:sz w:val="18"/>
          <w:szCs w:val="18"/>
        </w:rPr>
        <w:t xml:space="preserve">Seven Trust Boundaries — STRIDE Defense in Depth</w:t>
      </w:r>
    </w:p>
    <w:p>
      <w:pPr>
        <w:pStyle w:val="Heading2"/>
        <w:spacing w:after="160" w:before="280"/>
      </w:pPr>
      <w:r>
        <w:rPr>
          <w:b/>
          <w:bCs/>
          <w:color w:val="1A365D"/>
          <w:sz w:val="26"/>
          <w:szCs w:val="26"/>
        </w:rPr>
        <w:t xml:space="preserve">4.4 Defense in depth — seven layers</w:t>
      </w:r>
    </w:p>
    <w:p>
      <w:pPr>
        <w:spacing w:after="60" w:before="120"/>
        <w:jc w:val="center"/>
      </w:pPr>
      <w:r>
        <w:drawing>
          <wp:inline distT="0" distB="0" distL="0" distR="0">
            <wp:extent cx="5905500" cy="3429000"/>
            <wp:effectExtent t="0" r="0" b="0" l="0"/>
            <wp:docPr id="1" name="15_defense" descr="Defense in Depth — Layered Controls" title="Defense in Depth — Layered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429000"/>
                    </a:xfrm>
                    <a:prstGeom prst="rect">
                      <a:avLst/>
                    </a:prstGeom>
                  </pic:spPr>
                </pic:pic>
              </a:graphicData>
            </a:graphic>
          </wp:inline>
        </w:drawing>
      </w:r>
    </w:p>
    <w:p>
      <w:pPr>
        <w:spacing w:after="200"/>
        <w:jc w:val="center"/>
      </w:pPr>
      <w:r>
        <w:rPr>
          <w:b/>
          <w:bCs/>
          <w:i/>
          <w:iCs/>
          <w:color w:val="4A5568"/>
          <w:sz w:val="18"/>
          <w:szCs w:val="18"/>
        </w:rPr>
        <w:t xml:space="preserve">Figure: </w:t>
      </w:r>
      <w:r>
        <w:rPr>
          <w:i/>
          <w:iCs/>
          <w:color w:val="4A5568"/>
          <w:sz w:val="18"/>
          <w:szCs w:val="18"/>
        </w:rPr>
        <w:t xml:space="preserve">Defense in Depth — Layered Controls</w:t>
      </w:r>
    </w:p>
    <w:p>
      <w:pPr>
        <w:pStyle w:val="Heading2"/>
        <w:spacing w:after="160" w:before="280"/>
      </w:pPr>
      <w:r>
        <w:rPr>
          <w:b/>
          <w:bCs/>
          <w:color w:val="1A365D"/>
          <w:sz w:val="26"/>
          <w:szCs w:val="26"/>
        </w:rPr>
        <w:t xml:space="preserve">4.5 Side-by-side upgrade with junction flip</w:t>
      </w:r>
    </w:p>
    <w:p>
      <w:pPr>
        <w:spacing w:after="120" w:line="280"/>
      </w:pPr>
      <w:r>
        <w:t xml:space="preserve">All upgrades — major, minor, and patch — use the side-by-side pattern. New binaries are staged in C:\Program Files\ePACS\releases\&lt;new-version&gt;\. The MySQL datadir is copied to staging and migrated there. Only after staging passes smoke-test do we flip the C:\Program Files\ePACS\current junction atomically. If anything fails before the flip, the previous version is untouched. If anything fails after the flip, we flip back.</w:t>
      </w:r>
    </w:p>
    <w:p>
      <w:pPr>
        <w:spacing w:after="60" w:before="120"/>
        <w:jc w:val="center"/>
      </w:pPr>
      <w:r>
        <w:drawing>
          <wp:inline distT="0" distB="0" distL="0" distR="0">
            <wp:extent cx="5905500" cy="3429000"/>
            <wp:effectExtent t="0" r="0" b="0" l="0"/>
            <wp:docPr id="1" name="10_upgrade" descr="Side-by-Side Upgrade — Atomic Junction Flip with Rollback Paths" title="Side-by-Side Upgrade — Atomic Junction Flip with Rollback Pa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429000"/>
                    </a:xfrm>
                    <a:prstGeom prst="rect">
                      <a:avLst/>
                    </a:prstGeom>
                  </pic:spPr>
                </pic:pic>
              </a:graphicData>
            </a:graphic>
          </wp:inline>
        </w:drawing>
      </w:r>
    </w:p>
    <w:p>
      <w:pPr>
        <w:spacing w:after="200"/>
        <w:jc w:val="center"/>
      </w:pPr>
      <w:r>
        <w:rPr>
          <w:b/>
          <w:bCs/>
          <w:i/>
          <w:iCs/>
          <w:color w:val="4A5568"/>
          <w:sz w:val="18"/>
          <w:szCs w:val="18"/>
        </w:rPr>
        <w:t xml:space="preserve">Figure: </w:t>
      </w:r>
      <w:r>
        <w:rPr>
          <w:i/>
          <w:iCs/>
          <w:color w:val="4A5568"/>
          <w:sz w:val="18"/>
          <w:szCs w:val="18"/>
        </w:rPr>
        <w:t xml:space="preserve">Side-by-Side Upgrade — Atomic Junction Flip with Rollback Paths</w:t>
      </w:r>
    </w:p>
    <w:p>
      <w:pPr>
        <w:pStyle w:val="Heading2"/>
        <w:spacing w:after="160" w:before="280"/>
      </w:pPr>
      <w:r>
        <w:rPr>
          <w:b/>
          <w:bCs/>
          <w:color w:val="1A365D"/>
          <w:sz w:val="26"/>
          <w:szCs w:val="26"/>
        </w:rPr>
        <w:t xml:space="preserve">4.6 Schema migration architecture</w:t>
      </w:r>
    </w:p>
    <w:p>
      <w:pPr>
        <w:spacing w:after="120" w:line="280"/>
      </w:pPr>
      <w:r>
        <w:t xml:space="preserve">ePACS has a 1,057-table schema with 81 foreign keys, 4,556 LOB columns, mixed charsets (utf8mb3 in 24 Hangfire tables, utf8mb4 in 1,033 business tables), and AUTO_INCREMENT values approaching 24 % of BIGINT max for one key table. Migration is a first-class architectural concern.</w:t>
      </w:r>
    </w:p>
    <w:p>
      <w:pPr>
        <w:pStyle w:val="ListParagraph"/>
        <w:numPr>
          <w:ilvl w:val="0"/>
          <w:numId w:val="2"/>
        </w:numPr>
        <w:spacing w:after="60"/>
      </w:pPr>
      <w:r>
        <w:t xml:space="preserve">DbUp runs forward-only versioned scripts (V###__*.sql) with checkpoints in schema_version_registry.</w:t>
      </w:r>
    </w:p>
    <w:p>
      <w:pPr>
        <w:pStyle w:val="ListParagraph"/>
        <w:numPr>
          <w:ilvl w:val="0"/>
          <w:numId w:val="2"/>
        </w:numPr>
        <w:spacing w:after="60"/>
      </w:pPr>
      <w:r>
        <w:t xml:space="preserve">Each script is classified INSTANT / INPLACE / COPY by its DDL header; tables &gt; 1M rows requiring COPY route to pt-online-schema-change automatically.</w:t>
      </w:r>
    </w:p>
    <w:p>
      <w:pPr>
        <w:pStyle w:val="ListParagraph"/>
        <w:numPr>
          <w:ilvl w:val="0"/>
          <w:numId w:val="2"/>
        </w:numPr>
        <w:spacing w:after="60"/>
      </w:pPr>
      <w:r>
        <w:t xml:space="preserve">Schema fingerprinting captures INFORMATION_SCHEMA snapshots before and after each migration; drift severity (Benign / Compatible / Breaking) gates the upgrade.</w:t>
      </w:r>
    </w:p>
    <w:p>
      <w:pPr>
        <w:pStyle w:val="ListParagraph"/>
        <w:numPr>
          <w:ilvl w:val="0"/>
          <w:numId w:val="2"/>
        </w:numPr>
        <w:spacing w:after="60"/>
      </w:pPr>
      <w:r>
        <w:t xml:space="preserve">MySQL Upgrade Checker is a mandatory pre-gate for cross-version transitions (8.0 → 8.4).</w:t>
      </w:r>
    </w:p>
    <w:p>
      <w:pPr>
        <w:pStyle w:val="ListParagraph"/>
        <w:numPr>
          <w:ilvl w:val="0"/>
          <w:numId w:val="2"/>
        </w:numPr>
        <w:spacing w:after="60"/>
      </w:pPr>
      <w:r>
        <w:t xml:space="preserve">Expand-migrate-contract pattern is enforced — irreversible DDL is split across releases with an explicit rollback window.</w:t>
      </w:r>
    </w:p>
    <w:p>
      <w:pPr>
        <w:pStyle w:val="ListParagraph"/>
        <w:numPr>
          <w:ilvl w:val="0"/>
          <w:numId w:val="2"/>
        </w:numPr>
        <w:spacing w:after="60"/>
      </w:pPr>
      <w:r>
        <w:t xml:space="preserve">MySQL advisory lock GET_LOCK('epacs_migration', 0) prevents concurrent runners (G76).</w:t>
      </w:r>
    </w:p>
    <w:p>
      <w:pPr>
        <w:spacing w:after="60" w:before="120"/>
        <w:jc w:val="center"/>
      </w:pPr>
      <w:r>
        <w:drawing>
          <wp:inline distT="0" distB="0" distL="0" distR="0">
            <wp:extent cx="5905500" cy="3429000"/>
            <wp:effectExtent t="0" r="0" b="0" l="0"/>
            <wp:docPr id="1" name="16_drift" descr="Schema Drift Detection (G45) — Pre-Upgrade Gate" title="Schema Drift Detection (G45) — Pre-Upgrade 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429000"/>
                    </a:xfrm>
                    <a:prstGeom prst="rect">
                      <a:avLst/>
                    </a:prstGeom>
                  </pic:spPr>
                </pic:pic>
              </a:graphicData>
            </a:graphic>
          </wp:inline>
        </w:drawing>
      </w:r>
    </w:p>
    <w:p>
      <w:pPr>
        <w:spacing w:after="200"/>
        <w:jc w:val="center"/>
      </w:pPr>
      <w:r>
        <w:rPr>
          <w:b/>
          <w:bCs/>
          <w:i/>
          <w:iCs/>
          <w:color w:val="4A5568"/>
          <w:sz w:val="18"/>
          <w:szCs w:val="18"/>
        </w:rPr>
        <w:t xml:space="preserve">Figure: </w:t>
      </w:r>
      <w:r>
        <w:rPr>
          <w:i/>
          <w:iCs/>
          <w:color w:val="4A5568"/>
          <w:sz w:val="18"/>
          <w:szCs w:val="18"/>
        </w:rPr>
        <w:t xml:space="preserve">Schema Drift Detection (G45) — Pre-Upgrade Gate</w:t>
      </w:r>
    </w:p>
    <w:p>
      <w:pPr>
        <w:pStyle w:val="Heading2"/>
        <w:spacing w:after="160" w:before="280"/>
      </w:pPr>
      <w:r>
        <w:rPr>
          <w:b/>
          <w:bCs/>
          <w:color w:val="1A365D"/>
          <w:sz w:val="26"/>
          <w:szCs w:val="26"/>
        </w:rPr>
        <w:t xml:space="preserve">4.7 Backup and restore architecture</w:t>
      </w:r>
    </w:p>
    <w:p>
      <w:pPr>
        <w:spacing w:after="120" w:line="280"/>
      </w:pPr>
      <w:r>
        <w:t xml:space="preserve">Backup is tiered to balance speed, size, portability, and disaster recovery. Daily incremental physical backups via Percona XtraBackup capture only changed InnoDB pages and complete in minutes even on 100 GB datasets. Weekly full physical backups anchor the chain. Pre-upgrade and monthly logical backups via mysqlsh provide cross-version portability for restore-to-new-machine and restore-to-different-MySQL-version.</w:t>
      </w:r>
    </w:p>
    <w:p>
      <w:pPr>
        <w:spacing w:after="60" w:before="120"/>
        <w:jc w:val="center"/>
      </w:pPr>
      <w:r>
        <w:drawing>
          <wp:inline distT="0" distB="0" distL="0" distR="0">
            <wp:extent cx="5905500" cy="3429000"/>
            <wp:effectExtent t="0" r="0" b="0" l="0"/>
            <wp:docPr id="1" name="09_backup_restore" descr="Backup / Restore — Tiered Strategy with Chain Attestation" title="Backup / Restore — Tiered Strategy with Chain Attes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429000"/>
                    </a:xfrm>
                    <a:prstGeom prst="rect">
                      <a:avLst/>
                    </a:prstGeom>
                  </pic:spPr>
                </pic:pic>
              </a:graphicData>
            </a:graphic>
          </wp:inline>
        </w:drawing>
      </w:r>
    </w:p>
    <w:p>
      <w:pPr>
        <w:spacing w:after="200"/>
        <w:jc w:val="center"/>
      </w:pPr>
      <w:r>
        <w:rPr>
          <w:b/>
          <w:bCs/>
          <w:i/>
          <w:iCs/>
          <w:color w:val="4A5568"/>
          <w:sz w:val="18"/>
          <w:szCs w:val="18"/>
        </w:rPr>
        <w:t xml:space="preserve">Figure: </w:t>
      </w:r>
      <w:r>
        <w:rPr>
          <w:i/>
          <w:iCs/>
          <w:color w:val="4A5568"/>
          <w:sz w:val="18"/>
          <w:szCs w:val="18"/>
        </w:rPr>
        <w:t xml:space="preserve">Backup / Restore — Tiered Strategy with Chain Attestation</w:t>
      </w:r>
    </w:p>
    <w:p>
      <w:pPr>
        <w:pStyle w:val="Heading2"/>
        <w:spacing w:after="160" w:before="280"/>
      </w:pPr>
      <w:r>
        <w:rPr>
          <w:b/>
          <w:bCs/>
          <w:color w:val="1A365D"/>
          <w:sz w:val="26"/>
          <w:szCs w:val="26"/>
        </w:rPr>
        <w:t xml:space="preserve">4.8 Sync architecture</w:t>
      </w:r>
    </w:p>
    <w:p>
      <w:pPr>
        <w:spacing w:after="120" w:line="280"/>
      </w:pPr>
      <w:r>
        <w:t xml:space="preserve">The Sync Agent is the only component with outbound network access from a PACS site. It implements ISyncTransport with three async methods — SendBatchAsync, ReceiveAsync, ProbeConnectivityAsync — and a circuit breaker that moves the agent through CONNECTED → HALF-OPEN → OPEN states. In OPEN, business operations are entirely unaffected; events queue in MySQL outbox, and the agent probes every 60 seconds.</w:t>
      </w:r>
    </w:p>
    <w:p>
      <w:pPr>
        <w:spacing w:after="60" w:before="120"/>
        <w:jc w:val="center"/>
      </w:pPr>
      <w:r>
        <w:drawing>
          <wp:inline distT="0" distB="0" distL="0" distR="0">
            <wp:extent cx="5905500" cy="3429000"/>
            <wp:effectExtent t="0" r="0" b="0" l="0"/>
            <wp:docPr id="1" name="04_sync_connectivity" descr="Sync Connectivity State Machine — Circuit Breaker with Bandwidth Adaptation" title="Sync Connectivity State Machine — Circuit Breaker with Bandwidth Adap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3429000"/>
                    </a:xfrm>
                    <a:prstGeom prst="rect">
                      <a:avLst/>
                    </a:prstGeom>
                  </pic:spPr>
                </pic:pic>
              </a:graphicData>
            </a:graphic>
          </wp:inline>
        </w:drawing>
      </w:r>
    </w:p>
    <w:p>
      <w:pPr>
        <w:spacing w:after="200"/>
        <w:jc w:val="center"/>
      </w:pPr>
      <w:r>
        <w:rPr>
          <w:b/>
          <w:bCs/>
          <w:i/>
          <w:iCs/>
          <w:color w:val="4A5568"/>
          <w:sz w:val="18"/>
          <w:szCs w:val="18"/>
        </w:rPr>
        <w:t xml:space="preserve">Figure: </w:t>
      </w:r>
      <w:r>
        <w:rPr>
          <w:i/>
          <w:iCs/>
          <w:color w:val="4A5568"/>
          <w:sz w:val="18"/>
          <w:szCs w:val="18"/>
        </w:rPr>
        <w:t xml:space="preserve">Sync Connectivity State Machine — Circuit Breaker with Bandwidth Adaptation</w:t>
      </w:r>
    </w:p>
    <w:p>
      <w:pPr>
        <w:pStyle w:val="Heading2"/>
        <w:spacing w:after="160" w:before="280"/>
      </w:pPr>
      <w:r>
        <w:rPr>
          <w:b/>
          <w:bCs/>
          <w:color w:val="1A365D"/>
          <w:sz w:val="26"/>
          <w:szCs w:val="26"/>
        </w:rPr>
        <w:t xml:space="preserve">4.9 Build provenance and supply chain</w:t>
      </w:r>
    </w:p>
    <w:p>
      <w:pPr>
        <w:spacing w:after="120" w:line="280"/>
      </w:pPr>
      <w:r>
        <w:t xml:space="preserve">Every release artifact is bound to a SLSA L3-style provenance trail: hermetic build VMs, two-person sign-off, in-toto attestations, and reproducible-build verification across two independent build images. The Anti-Tamper Allowlist (ATA) — a small signed file refreshed via sync — provides a kill-switch in case a signing key is compromised.</w:t>
      </w:r>
    </w:p>
    <w:p>
      <w:pPr>
        <w:spacing w:after="60" w:before="120"/>
        <w:jc w:val="center"/>
      </w:pPr>
      <w:r>
        <w:drawing>
          <wp:inline distT="0" distB="0" distL="0" distR="0">
            <wp:extent cx="5905500" cy="3429000"/>
            <wp:effectExtent t="0" r="0" b="0" l="0"/>
            <wp:docPr id="1" name="13_slsa" descr="SLSA L3 Build &amp; Sign Pipeline with ATA Distribution" title="SLSA L3 Build &amp; Sign Pipeline with ATA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3429000"/>
                    </a:xfrm>
                    <a:prstGeom prst="rect">
                      <a:avLst/>
                    </a:prstGeom>
                  </pic:spPr>
                </pic:pic>
              </a:graphicData>
            </a:graphic>
          </wp:inline>
        </w:drawing>
      </w:r>
    </w:p>
    <w:p>
      <w:pPr>
        <w:spacing w:after="200"/>
        <w:jc w:val="center"/>
      </w:pPr>
      <w:r>
        <w:rPr>
          <w:b/>
          <w:bCs/>
          <w:i/>
          <w:iCs/>
          <w:color w:val="4A5568"/>
          <w:sz w:val="18"/>
          <w:szCs w:val="18"/>
        </w:rPr>
        <w:t xml:space="preserve">Figure: </w:t>
      </w:r>
      <w:r>
        <w:rPr>
          <w:i/>
          <w:iCs/>
          <w:color w:val="4A5568"/>
          <w:sz w:val="18"/>
          <w:szCs w:val="18"/>
        </w:rPr>
        <w:t xml:space="preserve">SLSA L3 Build &amp; Sign Pipeline with ATA Distribution</w:t>
      </w:r>
    </w:p>
    <w:p>
      <w:pPr>
        <w:pStyle w:val="Heading1"/>
        <w:pageBreakBefore/>
        <w:spacing w:after="200" w:before="360"/>
      </w:pPr>
      <w:r>
        <w:rPr>
          <w:b/>
          <w:bCs/>
          <w:color w:val="1A365D"/>
          <w:sz w:val="32"/>
          <w:szCs w:val="32"/>
        </w:rPr>
        <w:t xml:space="preserve">5. .NET Core Solution Layout — Orthogonality, Traceability, Observability, Security</w:t>
      </w:r>
    </w:p>
    <w:p>
      <w:pPr>
        <w:pStyle w:val="Heading2"/>
        <w:spacing w:after="160" w:before="280"/>
      </w:pPr>
      <w:r>
        <w:rPr>
          <w:b/>
          <w:bCs/>
          <w:color w:val="1A365D"/>
          <w:sz w:val="26"/>
          <w:szCs w:val="26"/>
        </w:rPr>
        <w:t xml:space="preserve">5.1 Project structure</w:t>
      </w:r>
    </w:p>
    <w:p>
      <w:pPr>
        <w:spacing w:after="120" w:line="280"/>
      </w:pPr>
      <w:r>
        <w:t xml:space="preserve">The solution is decomposed into small, interface-driven, single-responsibility projects. Compile-time references are tightly controlled — concrete projects depend on Abstractions and SharedKernel; never on each other directly. Tests reference the project under test and SharedKernel.</w:t>
      </w:r>
    </w:p>
    <w:p>
      <w:pPr>
        <w:spacing w:after="60" w:before="120"/>
        <w:jc w:val="center"/>
      </w:pPr>
      <w:r>
        <w:drawing>
          <wp:inline distT="0" distB="0" distL="0" distR="0">
            <wp:extent cx="5905500" cy="3429000"/>
            <wp:effectExtent t="0" r="0" b="0" l="0"/>
            <wp:docPr id="1" name="07_solution_layout" descr=".NET 8 Solution Dependency Graph — Bootstrappers, Workers, Cores, Cross-Cutting, Tests" title=".NET 8 Solution Dependency Graph — Bootstrappers, Workers, Cores, Cross-Cutting, T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3429000"/>
                    </a:xfrm>
                    <a:prstGeom prst="rect">
                      <a:avLst/>
                    </a:prstGeom>
                  </pic:spPr>
                </pic:pic>
              </a:graphicData>
            </a:graphic>
          </wp:inline>
        </w:drawing>
      </w:r>
    </w:p>
    <w:p>
      <w:pPr>
        <w:spacing w:after="200"/>
        <w:jc w:val="center"/>
      </w:pPr>
      <w:r>
        <w:rPr>
          <w:b/>
          <w:bCs/>
          <w:i/>
          <w:iCs/>
          <w:color w:val="4A5568"/>
          <w:sz w:val="18"/>
          <w:szCs w:val="18"/>
        </w:rPr>
        <w:t xml:space="preserve">Figure: </w:t>
      </w:r>
      <w:r>
        <w:rPr>
          <w:i/>
          <w:iCs/>
          <w:color w:val="4A5568"/>
          <w:sz w:val="18"/>
          <w:szCs w:val="18"/>
        </w:rPr>
        <w:t xml:space="preserve">.NET 8 Solution Dependency Graph — Bootstrappers, Workers, Cores, Cross-Cutting, Tests</w:t>
      </w:r>
    </w:p>
    <w:p>
      <w:pPr>
        <w:pStyle w:val="Heading2"/>
        <w:spacing w:after="160" w:before="280"/>
      </w:pPr>
      <w:r>
        <w:rPr>
          <w:b/>
          <w:bCs/>
          <w:color w:val="1A365D"/>
          <w:sz w:val="26"/>
          <w:szCs w:val="26"/>
        </w:rPr>
        <w:t xml:space="preserve">5.2 Implemented projects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Project</w:t>
            </w:r>
          </w:p>
        </w:tc>
        <w:tc>
          <w:tcPr>
            <w:tcW w:type="dxa" w:w="63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Public Surface (interfaces / classes)</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Installer.CLI</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Program.cs entry point — /quiet /config:&lt;.epcfg&gt; mode; exit code mapping</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Installer.Core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IInstallerStateMachine, ModeDetector, InstallerLock; ISchemaFingerprinter; IUpgradeEngine</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Installer.Actions</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IPrecheck (AdminRights, OsVersion, DiskSpace, Ram, Port, PendingReboot); IServiceOrchestrator; IPayloadExtractor; IConfigGenerator; IBinaryDeployer; IDataRootInitializer; UninstallAction</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Installer.Agent</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Worker (BackgroundService) hosting modular monitors (IMonitor pattern), FileSync, Heartbeat</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Installer.Agent / Monitors</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DiskSpaceMonitor, ConfigDriftMonitor, LogRotationMonitor (all IMonitor)</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Installer.Agent / FileSync</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FileSyncMonitor, IFileSyncTransport — bidirectional file sync with hash-based dedup, peak-hour deferral, chunked resume</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Installer.Agent / Heartbeat</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HeartbeatMonitor, HeartbeatPayload — circuit-breaker-protected fire-and-forget telemetry</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Sync.Abstractions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ISyncTransport, SyncEvent, SyncBatchResult, EventAck — transport contract</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Sync.Agent</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SyncAgentWorker, OutboxRelay (SELECT FOR UPDATE SKIP LOCKED), InboxProcessor, ConnectivityMonitor (Connected/Open/HalfOpen + bandwidth detection), ReconciliationEngine</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BackupRestore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IBackupEngine, BackupEngine, IRestoreEngine, BackupManifest</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ManifestVerifier</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IManifestParser, ManifestParser; IHashVerifier, HashVerifier; ISignatureVerifier, SignatureVerifier; ManifestVerificationService</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SupportBundle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ISupportBundleCollector, SupportBundleCollector</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SharedKernel</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Contracts (ReleaseManifest, SiteConfigPack, InstallationState, ServiceMapEntry, HealthCheckResult); Configuration option classes; Security (IAclEngine, IAuditChain, ICodeSigner, IFirewallManager, ISecretStore); ErrorHandling (IInstallerErrorFactory, InstallerException)</w:t>
            </w:r>
          </w:p>
        </w:tc>
      </w:tr>
    </w:tbl>
    <w:p>
      <w:pPr>
        <w:pStyle w:val="Heading2"/>
        <w:spacing w:after="160" w:before="280"/>
      </w:pPr>
      <w:r>
        <w:rPr>
          <w:b/>
          <w:bCs/>
          <w:color w:val="1A365D"/>
          <w:sz w:val="26"/>
          <w:szCs w:val="26"/>
        </w:rPr>
        <w:t xml:space="preserve">5.3 Orthogonality (separation of concerns)</w:t>
      </w:r>
    </w:p>
    <w:p>
      <w:pPr>
        <w:spacing w:after="120" w:line="280"/>
      </w:pPr>
      <w:r>
        <w:t xml:space="preserve">Each project has one job. State machine knows transitions, not how to talk to MySQL. The schema fingerprinter knows INFORMATION_SCHEMA, not how to render WPF. The Sync Agent knows the outbox protocol, not how to read .epcfg. Cross-cutting concerns — configuration, errors, security — live in SharedKernel and are consumed by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182CE" w:sz="6"/>
              <w:left w:val="single" w:color="3182CE" w:sz="6"/>
              <w:bottom w:val="single" w:color="3182CE" w:sz="6"/>
              <w:right w:val="single" w:color="3182CE" w:sz="6"/>
            </w:tcBorders>
            <w:shd w:fill="EBF8FF" w:val="clear"/>
            <w:tcMar>
              <w:top w:type="dxa" w:w="120"/>
              <w:left w:type="dxa" w:w="200"/>
              <w:bottom w:type="dxa" w:w="120"/>
              <w:right w:type="dxa" w:w="200"/>
            </w:tcMar>
          </w:tcPr>
          <w:p>
            <w:pPr>
              <w:spacing w:after="60"/>
            </w:pPr>
            <w:r>
              <w:rPr>
                <w:sz w:val="20"/>
                <w:szCs w:val="20"/>
              </w:rPr>
              <w:t xml:space="preserve">Why this matters: a single fault is contained to one project. A regression in BackupEngine cannot break the state machine. A new sync transport (HTTP, gRPC, future SFTP) plugs in behind ISyncTransport without touching any business code. A different cache (Garnet, Redis OSS, KeyDB) plugs in behind ICache.</w:t>
            </w:r>
          </w:p>
        </w:tc>
      </w:tr>
    </w:tbl>
    <w:p>
      <w:pPr>
        <w:pStyle w:val="Heading2"/>
        <w:spacing w:after="160" w:before="280"/>
      </w:pPr>
      <w:r>
        <w:rPr>
          <w:b/>
          <w:bCs/>
          <w:color w:val="1A365D"/>
          <w:sz w:val="26"/>
          <w:szCs w:val="26"/>
        </w:rPr>
        <w:t xml:space="preserve">5.4 Traceability</w:t>
      </w:r>
    </w:p>
    <w:p>
      <w:pPr>
        <w:spacing w:after="120" w:line="280"/>
      </w:pPr>
      <w:r>
        <w:t xml:space="preserve">Every operation produces a correlation_id (UUID v7) that is propagated end-to-end. This identifier appears in log entries, audit-chain records, support bundles, sync envelopes, and operator-facing error messages. The same ID can be searched across logs and the Traceability database for full reconstruction of any 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Layer</w:t>
            </w:r>
          </w:p>
        </w:tc>
        <w:tc>
          <w:tcPr>
            <w:tcW w:type="dxa" w:w="69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Trace artifact</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Installer state machine</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InstallationState row in installation_registry; correlation_id stamped on every checkpoint</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Logs</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Structured JSON with correlation_id; daily rolling files under D:\ePACSData\logs\&lt;service&gt;\</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Audit chain</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Hash-chained audit_log table linking installer, upgrade, backup, restore, override events</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Traceability module</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AuditActivity table with ULID PK, geo-tag, OccurredAtUtc, ActorPrincipalId, EventType, ResourceRef, ChangeSetRef</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Sync envelope</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Each SyncEvent carries event_id (idempotency), idempotency_key, payload_hash, sequence_number, correlation_id</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Support bundle</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Includes correlation_id index → log file ranges → audit timeline → service status</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Health endpoint</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/health/version returns stack_version, schema_version, sync_protocol_version, manifest_id, build_provenance_id</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Backup manifest</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backup-manifest.yaml carries manifest_id, prev_signature, signed by per-PACS attestation key (chain attestation)</w:t>
            </w:r>
          </w:p>
        </w:tc>
      </w:tr>
    </w:tbl>
    <w:p>
      <w:pPr>
        <w:pStyle w:val="Heading2"/>
        <w:spacing w:after="160" w:before="280"/>
      </w:pPr>
      <w:r>
        <w:rPr>
          <w:b/>
          <w:bCs/>
          <w:color w:val="1A365D"/>
          <w:sz w:val="26"/>
          <w:szCs w:val="26"/>
        </w:rPr>
        <w:t xml:space="preserve">5.5 Observability</w:t>
      </w:r>
    </w:p>
    <w:p>
      <w:pPr>
        <w:pStyle w:val="ListParagraph"/>
        <w:numPr>
          <w:ilvl w:val="0"/>
          <w:numId w:val="2"/>
        </w:numPr>
        <w:spacing w:after="60"/>
      </w:pPr>
      <w:r>
        <w:t xml:space="preserve">Structured JSON logs (BRD 17.3) with correlation_id, level, service, host, schema_version.</w:t>
      </w:r>
    </w:p>
    <w:p>
      <w:pPr>
        <w:pStyle w:val="ListParagraph"/>
        <w:numPr>
          <w:ilvl w:val="0"/>
          <w:numId w:val="2"/>
        </w:numPr>
        <w:spacing w:after="60"/>
      </w:pPr>
      <w:r>
        <w:t xml:space="preserve">Health endpoints (BRD 17.2) on every service: /health/live, /health/ready, /health/version. Caches added (G79) — /ready 10s, /live 1s.</w:t>
      </w:r>
    </w:p>
    <w:p>
      <w:pPr>
        <w:pStyle w:val="ListParagraph"/>
        <w:numPr>
          <w:ilvl w:val="0"/>
          <w:numId w:val="2"/>
        </w:numPr>
        <w:spacing w:after="60"/>
      </w:pPr>
      <w:r>
        <w:t xml:space="preserve">Local Health Dashboard in ePACS Web — service status, disk usage, last backup, sync lag, cert expiry, drift status, attachment quota.</w:t>
      </w:r>
    </w:p>
    <w:p>
      <w:pPr>
        <w:pStyle w:val="ListParagraph"/>
        <w:numPr>
          <w:ilvl w:val="0"/>
          <w:numId w:val="2"/>
        </w:numPr>
        <w:spacing w:after="60"/>
      </w:pPr>
      <w:r>
        <w:t xml:space="preserve">Fleet Health Manifest (Section 17 of plan) — privacy-minimized telemetry to CoopsIndia Dashboard, opt-in per .epcfg.</w:t>
      </w:r>
    </w:p>
    <w:p>
      <w:pPr>
        <w:pStyle w:val="ListParagraph"/>
        <w:numPr>
          <w:ilvl w:val="0"/>
          <w:numId w:val="2"/>
        </w:numPr>
        <w:spacing w:after="60"/>
      </w:pPr>
      <w:r>
        <w:t xml:space="preserve">epacs-ping.exe — single command end-to-end health summary in operator's language, also saved to diagnostics folder.</w:t>
      </w:r>
    </w:p>
    <w:p>
      <w:pPr>
        <w:pStyle w:val="ListParagraph"/>
        <w:numPr>
          <w:ilvl w:val="0"/>
          <w:numId w:val="2"/>
        </w:numPr>
        <w:spacing w:after="60"/>
      </w:pPr>
      <w:r>
        <w:t xml:space="preserve">Support bundle — secret-redacted, signed, includes DNS / TCP / TLS probes to NLDR plus last 10 sync attempts.</w:t>
      </w:r>
    </w:p>
    <w:p>
      <w:pPr>
        <w:pStyle w:val="ListParagraph"/>
        <w:numPr>
          <w:ilvl w:val="0"/>
          <w:numId w:val="2"/>
        </w:numPr>
        <w:spacing w:after="60"/>
      </w:pPr>
      <w:r>
        <w:t xml:space="preserve">Mode-aware logging — installer modes log to installer\&lt;mode&gt;-&lt;timestamp&gt;.log; agent monitors log per-monitor.</w:t>
      </w:r>
    </w:p>
    <w:p>
      <w:pPr>
        <w:spacing w:after="60" w:before="120"/>
        <w:jc w:val="center"/>
      </w:pPr>
      <w:r>
        <w:drawing>
          <wp:inline distT="0" distB="0" distL="0" distR="0">
            <wp:extent cx="5905500" cy="3429000"/>
            <wp:effectExtent t="0" r="0" b="0" l="0"/>
            <wp:docPr id="1" name="12_heartbeat" descr="Heartbeat &amp; Fleet Manifest — Privacy-Minimized HQ Visibility" title="Heartbeat &amp; Fleet Manifest — Privacy-Minimized HQ Visi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3429000"/>
                    </a:xfrm>
                    <a:prstGeom prst="rect">
                      <a:avLst/>
                    </a:prstGeom>
                  </pic:spPr>
                </pic:pic>
              </a:graphicData>
            </a:graphic>
          </wp:inline>
        </w:drawing>
      </w:r>
    </w:p>
    <w:p>
      <w:pPr>
        <w:spacing w:after="200"/>
        <w:jc w:val="center"/>
      </w:pPr>
      <w:r>
        <w:rPr>
          <w:b/>
          <w:bCs/>
          <w:i/>
          <w:iCs/>
          <w:color w:val="4A5568"/>
          <w:sz w:val="18"/>
          <w:szCs w:val="18"/>
        </w:rPr>
        <w:t xml:space="preserve">Figure: </w:t>
      </w:r>
      <w:r>
        <w:rPr>
          <w:i/>
          <w:iCs/>
          <w:color w:val="4A5568"/>
          <w:sz w:val="18"/>
          <w:szCs w:val="18"/>
        </w:rPr>
        <w:t xml:space="preserve">Heartbeat &amp; Fleet Manifest — Privacy-Minimized HQ Visibility</w:t>
      </w:r>
    </w:p>
    <w:p>
      <w:pPr>
        <w:pStyle w:val="Heading2"/>
        <w:spacing w:after="160" w:before="280"/>
      </w:pPr>
      <w:r>
        <w:rPr>
          <w:b/>
          <w:bCs/>
          <w:color w:val="1A365D"/>
          <w:sz w:val="26"/>
          <w:szCs w:val="26"/>
        </w:rPr>
        <w:t xml:space="preserve">5.6 Security posture</w:t>
      </w:r>
    </w:p>
    <w:p>
      <w:pPr>
        <w:pStyle w:val="Heading3"/>
        <w:spacing w:after="120" w:before="200"/>
      </w:pPr>
      <w:r>
        <w:rPr>
          <w:b/>
          <w:bCs/>
          <w:color w:val="2B6CB0"/>
          <w:sz w:val="22"/>
          <w:szCs w:val="22"/>
        </w:rPr>
        <w:t xml:space="preserve">5.6.1 Identity, secrets, and credentials</w:t>
      </w:r>
    </w:p>
    <w:p>
      <w:pPr>
        <w:pStyle w:val="ListParagraph"/>
        <w:numPr>
          <w:ilvl w:val="0"/>
          <w:numId w:val="2"/>
        </w:numPr>
        <w:spacing w:after="60"/>
      </w:pPr>
      <w:r>
        <w:t xml:space="preserve">Service principals: ePACSAppSvc, ePACSDbSvc, ePACSCacheSvc, ePACSEventSvc, ePACSSyncSvc — created and ACL'd by installer.</w:t>
      </w:r>
    </w:p>
    <w:p>
      <w:pPr>
        <w:pStyle w:val="ListParagraph"/>
        <w:numPr>
          <w:ilvl w:val="0"/>
          <w:numId w:val="2"/>
        </w:numPr>
        <w:spacing w:after="60"/>
      </w:pPr>
      <w:r>
        <w:t xml:space="preserve">Credentials encrypted with DPAPI + cert; cached under D:\ePACSData\keys with strict ACLs.</w:t>
      </w:r>
    </w:p>
    <w:p>
      <w:pPr>
        <w:pStyle w:val="ListParagraph"/>
        <w:numPr>
          <w:ilvl w:val="0"/>
          <w:numId w:val="2"/>
        </w:numPr>
        <w:spacing w:after="60"/>
      </w:pPr>
      <w:r>
        <w:t xml:space="preserve">ISecretStore provides Generate, Store, Retrieve, Rotate, Scan-for-Secrets, ListKeys.</w:t>
      </w:r>
    </w:p>
    <w:p>
      <w:pPr>
        <w:pStyle w:val="ListParagraph"/>
        <w:numPr>
          <w:ilvl w:val="0"/>
          <w:numId w:val="2"/>
        </w:numPr>
        <w:spacing w:after="60"/>
      </w:pPr>
      <w:r>
        <w:t xml:space="preserve">Key escrow: dual-custody recovery cert at state federation + NLPSV HQ; quarterly key-recovery drill.</w:t>
      </w:r>
    </w:p>
    <w:p>
      <w:pPr>
        <w:pStyle w:val="Heading3"/>
        <w:spacing w:after="120" w:before="200"/>
      </w:pPr>
      <w:r>
        <w:rPr>
          <w:b/>
          <w:bCs/>
          <w:color w:val="2B6CB0"/>
          <w:sz w:val="22"/>
          <w:szCs w:val="22"/>
        </w:rPr>
        <w:t xml:space="preserve">5.6.2 Code signing and tamper resistance</w:t>
      </w:r>
    </w:p>
    <w:p>
      <w:pPr>
        <w:pStyle w:val="ListParagraph"/>
        <w:numPr>
          <w:ilvl w:val="0"/>
          <w:numId w:val="2"/>
        </w:numPr>
        <w:spacing w:after="60"/>
      </w:pPr>
      <w:r>
        <w:t xml:space="preserve">EV Authenticode + RFC 3161 timestamping on every executable, DLL, PowerShell, and manifest.</w:t>
      </w:r>
    </w:p>
    <w:p>
      <w:pPr>
        <w:pStyle w:val="ListParagraph"/>
        <w:numPr>
          <w:ilvl w:val="0"/>
          <w:numId w:val="2"/>
        </w:numPr>
        <w:spacing w:after="60"/>
      </w:pPr>
      <w:r>
        <w:t xml:space="preserve">ICodeSigner: SignFileAsync (detached CMS/PKCS#7), VerifyFileAsync, ValidateChainAsync.</w:t>
      </w:r>
    </w:p>
    <w:p>
      <w:pPr>
        <w:pStyle w:val="ListParagraph"/>
        <w:numPr>
          <w:ilvl w:val="0"/>
          <w:numId w:val="2"/>
        </w:numPr>
        <w:spacing w:after="60"/>
      </w:pPr>
      <w:r>
        <w:t xml:space="preserve">Anti-Tamper Allowlist (ATA, G68): signed by Release CA, refreshed via sync, embedded fallback in agent.</w:t>
      </w:r>
    </w:p>
    <w:p>
      <w:pPr>
        <w:pStyle w:val="ListParagraph"/>
        <w:numPr>
          <w:ilvl w:val="0"/>
          <w:numId w:val="2"/>
        </w:numPr>
        <w:spacing w:after="60"/>
      </w:pPr>
      <w:r>
        <w:t xml:space="preserve">Reproducible builds verified across two build VM images; bit-identical comparison.</w:t>
      </w:r>
    </w:p>
    <w:p>
      <w:pPr>
        <w:pStyle w:val="Heading3"/>
        <w:spacing w:after="120" w:before="200"/>
      </w:pPr>
      <w:r>
        <w:rPr>
          <w:b/>
          <w:bCs/>
          <w:color w:val="2B6CB0"/>
          <w:sz w:val="22"/>
          <w:szCs w:val="22"/>
        </w:rPr>
        <w:t xml:space="preserve">5.6.3 Audit chain and tamper detection</w:t>
      </w:r>
    </w:p>
    <w:p>
      <w:pPr>
        <w:pStyle w:val="ListParagraph"/>
        <w:numPr>
          <w:ilvl w:val="0"/>
          <w:numId w:val="2"/>
        </w:numPr>
        <w:spacing w:after="60"/>
      </w:pPr>
      <w:r>
        <w:t xml:space="preserve">Hash-chained audit log links every install, upgrade, backup, restore, DB-correction, config change, uninstall, override event.</w:t>
      </w:r>
    </w:p>
    <w:p>
      <w:pPr>
        <w:pStyle w:val="ListParagraph"/>
        <w:numPr>
          <w:ilvl w:val="0"/>
          <w:numId w:val="2"/>
        </w:numPr>
        <w:spacing w:after="60"/>
      </w:pPr>
      <w:r>
        <w:t xml:space="preserve">IAuditChain provides Append, Verify, Anchor, ReadFromCheckpoint.</w:t>
      </w:r>
    </w:p>
    <w:p>
      <w:pPr>
        <w:pStyle w:val="ListParagraph"/>
        <w:numPr>
          <w:ilvl w:val="0"/>
          <w:numId w:val="2"/>
        </w:numPr>
        <w:spacing w:after="60"/>
      </w:pPr>
      <w:r>
        <w:t xml:space="preserve">Backup chain attestation (G87): each backup manifest carries previous backup's signature → Merkle-style verification at NLDR.</w:t>
      </w:r>
    </w:p>
    <w:p>
      <w:pPr>
        <w:pStyle w:val="ListParagraph"/>
        <w:numPr>
          <w:ilvl w:val="0"/>
          <w:numId w:val="2"/>
        </w:numPr>
        <w:spacing w:after="60"/>
      </w:pPr>
      <w:r>
        <w:t xml:space="preserve">Configuration drift detection (G22): SHA-256 of every generated config; hourly comparison; drift recorded in support bundle.</w:t>
      </w:r>
    </w:p>
    <w:p>
      <w:pPr>
        <w:pStyle w:val="Heading3"/>
        <w:spacing w:after="120" w:before="200"/>
      </w:pPr>
      <w:r>
        <w:rPr>
          <w:b/>
          <w:bCs/>
          <w:color w:val="2B6CB0"/>
          <w:sz w:val="22"/>
          <w:szCs w:val="22"/>
        </w:rPr>
        <w:t xml:space="preserve">5.6.4 Network and access control</w:t>
      </w:r>
    </w:p>
    <w:p>
      <w:pPr>
        <w:pStyle w:val="ListParagraph"/>
        <w:numPr>
          <w:ilvl w:val="0"/>
          <w:numId w:val="2"/>
        </w:numPr>
        <w:spacing w:after="60"/>
      </w:pPr>
      <w:r>
        <w:t xml:space="preserve">Localhost-only ports for DB, cache, eventing — verified at install and by agent.</w:t>
      </w:r>
    </w:p>
    <w:p>
      <w:pPr>
        <w:pStyle w:val="ListParagraph"/>
        <w:numPr>
          <w:ilvl w:val="0"/>
          <w:numId w:val="2"/>
        </w:numPr>
        <w:spacing w:after="60"/>
      </w:pPr>
      <w:r>
        <w:t xml:space="preserve">Outbound 443 only to approved NLDR FQDN; mTLS with per-PACS client cert.</w:t>
      </w:r>
    </w:p>
    <w:p>
      <w:pPr>
        <w:pStyle w:val="ListParagraph"/>
        <w:numPr>
          <w:ilvl w:val="0"/>
          <w:numId w:val="2"/>
        </w:numPr>
        <w:spacing w:after="60"/>
      </w:pPr>
      <w:r>
        <w:t xml:space="preserve">IFirewallManager applies and verifies firewall rules.</w:t>
      </w:r>
    </w:p>
    <w:p>
      <w:pPr>
        <w:pStyle w:val="ListParagraph"/>
        <w:numPr>
          <w:ilvl w:val="0"/>
          <w:numId w:val="2"/>
        </w:numPr>
        <w:spacing w:after="60"/>
      </w:pPr>
      <w:r>
        <w:t xml:space="preserve">IAclEngine: GenerateRules, ApplyRulesAsync, VerifyAsync — set absolute (SDDL), not delta.</w:t>
      </w:r>
    </w:p>
    <w:p>
      <w:pPr>
        <w:pStyle w:val="Heading3"/>
        <w:spacing w:after="120" w:before="200"/>
      </w:pPr>
      <w:r>
        <w:rPr>
          <w:b/>
          <w:bCs/>
          <w:color w:val="2B6CB0"/>
          <w:sz w:val="22"/>
          <w:szCs w:val="22"/>
        </w:rPr>
        <w:t xml:space="preserve">5.6.5 Threat model (STRIDE summary)</w:t>
      </w:r>
    </w:p>
    <w:p>
      <w:pPr>
        <w:spacing w:after="120" w:line="280"/>
      </w:pPr>
      <w:r>
        <w:t xml:space="preserve">Full STRIDE threat model with 28 threats and verifying tests is in the plan's Appendix I.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Category</w:t>
            </w:r>
          </w:p>
        </w:tc>
        <w:tc>
          <w:tcPr>
            <w:tcW w:type="dxa" w:w="78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Top mitigations</w:t>
            </w:r>
          </w:p>
        </w:tc>
      </w:tr>
      <w:tr>
        <w:trPr>
          <w:tblHeader w:val="false"/>
        </w:trPr>
        <w:tc>
          <w:tcPr>
            <w:tcW w:type="dxa" w:w="15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Spoofing</w:t>
            </w:r>
          </w:p>
        </w:tc>
        <w:tc>
          <w:tcPr>
            <w:tcW w:type="dxa" w:w="78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EV signing + ATA allow-list (G68); per-site .epcfg encryption + nonce (G92); JWT Override Token; mTLS to NLDR</w:t>
            </w:r>
          </w:p>
        </w:tc>
      </w:tr>
      <w:tr>
        <w:trPr>
          <w:tblHeader w:val="false"/>
        </w:trP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Tampering</w:t>
            </w:r>
          </w:p>
        </w:tc>
        <w:tc>
          <w:tcPr>
            <w:tcW w:type="dxa" w:w="7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Authenticode + payload SHA-256; drift detection; backup chain (G87); audit hash chain; schema fingerprint (G45)</w:t>
            </w:r>
          </w:p>
        </w:tc>
      </w:tr>
      <w:tr>
        <w:trPr>
          <w:tblHeader w:val="false"/>
        </w:trPr>
        <w:tc>
          <w:tcPr>
            <w:tcW w:type="dxa" w:w="15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Repudiation</w:t>
            </w:r>
          </w:p>
        </w:tc>
        <w:tc>
          <w:tcPr>
            <w:tcW w:type="dxa" w:w="78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Audit log hash-chained; Override Token signed + nonced + reasoned; Traceability captures all DB corrections</w:t>
            </w:r>
          </w:p>
        </w:tc>
      </w:tr>
      <w:tr>
        <w:trPr>
          <w:tblHeader w:val="false"/>
        </w:trP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Info Disclosure</w:t>
            </w:r>
          </w:p>
        </w:tc>
        <w:tc>
          <w:tcPr>
            <w:tcW w:type="dxa" w:w="7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Support bundle redaction + golden list; encrypted keyring (DPAPI + cert); mTLS sync; .epcfg encryption (G92)</w:t>
            </w:r>
          </w:p>
        </w:tc>
      </w:tr>
      <w:tr>
        <w:trPr>
          <w:tblHeader w:val="false"/>
        </w:trPr>
        <w:tc>
          <w:tcPr>
            <w:tcW w:type="dxa" w:w="15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DoS</w:t>
            </w:r>
          </w:p>
        </w:tc>
        <w:tc>
          <w:tcPr>
            <w:tcW w:type="dxa" w:w="78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Disk monitoring tiers (G24); health endpoint cache + rate-limit (G79); AV exclusions; Garnet AOF quarantine; outbox ceilings (G66)</w:t>
            </w:r>
          </w:p>
        </w:tc>
      </w:tr>
      <w:tr>
        <w:trPr>
          <w:tblHeader w:val="false"/>
        </w:trP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EoP</w:t>
            </w:r>
          </w:p>
        </w:tc>
        <w:tc>
          <w:tcPr>
            <w:tcW w:type="dxa" w:w="7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Per-service auth + mTLS (G69); nonce replay prevention; HSM/Key Vault + DPAPI; GPO compatibility precheck (G72)</w:t>
            </w:r>
          </w:p>
        </w:tc>
      </w:tr>
    </w:tbl>
    <w:p>
      <w:pPr>
        <w:pStyle w:val="Heading1"/>
        <w:pageBreakBefore/>
        <w:spacing w:after="200" w:before="360"/>
      </w:pPr>
      <w:r>
        <w:rPr>
          <w:b/>
          <w:bCs/>
          <w:color w:val="1A365D"/>
          <w:sz w:val="32"/>
          <w:szCs w:val="32"/>
        </w:rPr>
        <w:t xml:space="preserve">6. Data Consistency, Coherence, and Integrity</w:t>
      </w:r>
    </w:p>
    <w:p>
      <w:pPr>
        <w:spacing w:after="120" w:line="280"/>
      </w:pPr>
      <w:r>
        <w:t xml:space="preserve">Data integrity is the highest-priority non-functional requirement. The system is engineered such that — under normal operation, planned upgrade, accidental power loss, network partition, or hostile tampering — data is either fully consistent and visible, or recoverable to a previous consistent state with audit-evident provenance.</w:t>
      </w:r>
    </w:p>
    <w:p>
      <w:pPr>
        <w:pStyle w:val="Heading2"/>
        <w:spacing w:after="160" w:before="280"/>
      </w:pPr>
      <w:r>
        <w:rPr>
          <w:b/>
          <w:bCs/>
          <w:color w:val="1A365D"/>
          <w:sz w:val="26"/>
          <w:szCs w:val="26"/>
        </w:rPr>
        <w:t xml:space="preserve">6.1 Local consistency — within a PACS node</w:t>
      </w:r>
    </w:p>
    <w:p>
      <w:pPr>
        <w:pStyle w:val="Heading3"/>
        <w:spacing w:after="120" w:before="200"/>
      </w:pPr>
      <w:r>
        <w:rPr>
          <w:b/>
          <w:bCs/>
          <w:color w:val="2B6CB0"/>
          <w:sz w:val="22"/>
          <w:szCs w:val="22"/>
        </w:rPr>
        <w:t xml:space="preserve">6.1.1 ACID and the transactional outbox</w:t>
      </w:r>
    </w:p>
    <w:p>
      <w:pPr>
        <w:spacing w:after="120" w:line="280"/>
      </w:pPr>
      <w:r>
        <w:t xml:space="preserve">Every business write that needs to be synced is performed inside a single MySQL transaction together with the corresponding outbox record. Either both succeed or neither does. This eliminates the classic dual-write problem (business state goes to MySQL, message goes to Kafka, one of them fails leaving inconsistency).</w:t>
      </w:r>
    </w:p>
    <w:p>
      <w:pPr>
        <w:spacing w:after="60" w:before="120"/>
        <w:jc w:val="center"/>
      </w:pPr>
      <w:r>
        <w:drawing>
          <wp:inline distT="0" distB="0" distL="0" distR="0">
            <wp:extent cx="5905500" cy="3429000"/>
            <wp:effectExtent t="0" r="0" b="0" l="0"/>
            <wp:docPr id="1" name="05_outbox_inbox" descr="Transactional Outbox / Inbox — MySQL is the System of Record" title="Transactional Outbox / Inbox — MySQL is the System of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3429000"/>
                    </a:xfrm>
                    <a:prstGeom prst="rect">
                      <a:avLst/>
                    </a:prstGeom>
                  </pic:spPr>
                </pic:pic>
              </a:graphicData>
            </a:graphic>
          </wp:inline>
        </w:drawing>
      </w:r>
    </w:p>
    <w:p>
      <w:pPr>
        <w:spacing w:after="200"/>
        <w:jc w:val="center"/>
      </w:pPr>
      <w:r>
        <w:rPr>
          <w:b/>
          <w:bCs/>
          <w:i/>
          <w:iCs/>
          <w:color w:val="4A5568"/>
          <w:sz w:val="18"/>
          <w:szCs w:val="18"/>
        </w:rPr>
        <w:t xml:space="preserve">Figure: </w:t>
      </w:r>
      <w:r>
        <w:rPr>
          <w:i/>
          <w:iCs/>
          <w:color w:val="4A5568"/>
          <w:sz w:val="18"/>
          <w:szCs w:val="18"/>
        </w:rPr>
        <w:t xml:space="preserve">Transactional Outbox / Inbox — MySQL is the System of Record</w:t>
      </w:r>
    </w:p>
    <w:p>
      <w:pPr>
        <w:pStyle w:val="Heading3"/>
        <w:spacing w:after="120" w:before="200"/>
      </w:pPr>
      <w:r>
        <w:rPr>
          <w:b/>
          <w:bCs/>
          <w:color w:val="2B6CB0"/>
          <w:sz w:val="22"/>
          <w:szCs w:val="22"/>
        </w:rPr>
        <w:t xml:space="preserve">6.1.2 InnoDB and Kafka durability settings</w:t>
      </w:r>
    </w:p>
    <w:p>
      <w:pPr>
        <w:shd w:fill="F5F5F5" w:val="clear"/>
        <w:spacing w:after="0"/>
        <w:ind w:left="200"/>
      </w:pPr>
      <w:r>
        <w:rPr>
          <w:rFonts w:ascii="Consolas" w:cs="Consolas" w:eastAsia="Consolas" w:hAnsi="Consolas"/>
          <w:sz w:val="18"/>
          <w:szCs w:val="18"/>
        </w:rPr>
        <w:t xml:space="preserve"># my.ini — enforced by installer</w:t>
      </w:r>
    </w:p>
    <w:p>
      <w:pPr>
        <w:shd w:fill="F5F5F5" w:val="clear"/>
        <w:spacing w:after="0"/>
        <w:ind w:left="200"/>
      </w:pPr>
      <w:r>
        <w:rPr>
          <w:rFonts w:ascii="Consolas" w:cs="Consolas" w:eastAsia="Consolas" w:hAnsi="Consolas"/>
          <w:sz w:val="18"/>
          <w:szCs w:val="18"/>
        </w:rPr>
        <w:t xml:space="preserve">innodb_flush_log_at_trx_commit = 1     # fsync redo log on every commit</w:t>
      </w:r>
    </w:p>
    <w:p>
      <w:pPr>
        <w:shd w:fill="F5F5F5" w:val="clear"/>
        <w:spacing w:after="0"/>
        <w:ind w:left="200"/>
      </w:pPr>
      <w:r>
        <w:rPr>
          <w:rFonts w:ascii="Consolas" w:cs="Consolas" w:eastAsia="Consolas" w:hAnsi="Consolas"/>
          <w:sz w:val="18"/>
          <w:szCs w:val="18"/>
        </w:rPr>
        <w:t xml:space="preserve">sync_binlog                    = 1     # fsync binlog on every commit</w:t>
      </w:r>
    </w:p>
    <w:p>
      <w:pPr>
        <w:shd w:fill="F5F5F5" w:val="clear"/>
        <w:spacing w:after="0"/>
        <w:ind w:left="200"/>
      </w:pPr>
      <w:r>
        <w:rPr>
          <w:rFonts w:ascii="Consolas" w:cs="Consolas" w:eastAsia="Consolas" w:hAnsi="Consolas"/>
          <w:sz w:val="18"/>
          <w:szCs w:val="18"/>
        </w:rPr>
        <w:t xml:space="preserve">innodb_doublewrite             = ON    # protect against torn pages</w:t>
      </w:r>
    </w:p>
    <w:p>
      <w:pPr>
        <w:shd w:fill="F5F5F5" w:val="clear"/>
        <w:spacing w:after="0"/>
        <w:ind w:left="200"/>
      </w:pPr>
      <w:r>
        <w:rPr>
          <w:rFonts w:ascii="Consolas" w:cs="Consolas" w:eastAsia="Consolas" w:hAnsi="Consolas"/>
          <w:sz w:val="18"/>
          <w:szCs w:val="18"/>
        </w:rPr>
        <w:t xml:space="preserve">innodb_checksum_algorithm      = crc32 # detect page corruption</w:t>
      </w:r>
    </w:p>
    <w:p>
      <w:pPr>
        <w:shd w:fill="F5F5F5" w:val="clear"/>
        <w:spacing w:after="0"/>
        <w:ind w:left="200"/>
      </w:pPr>
      <w:r>
        <w:rPr>
          <w:rFonts w:ascii="Consolas" w:cs="Consolas" w:eastAsia="Consolas" w:hAnsi="Consolas"/>
          <w:sz w:val="18"/>
          <w:szCs w:val="18"/>
        </w:rPr>
        <w:t xml:space="preserve">binlog_expire_logs_seconds     = 1209600  # 14 days retention (G78)</w:t>
      </w:r>
    </w:p>
    <w:p>
      <w:pPr>
        <w:shd w:fill="F5F5F5" w:val="clear"/>
        <w:spacing w:after="0"/>
        <w:ind w:left="200"/>
      </w:pPr>
      <w:r>
        <w:rPr>
          <w:rFonts w:ascii="Consolas" w:cs="Consolas" w:eastAsia="Consolas" w:hAnsi="Consolas"/>
          <w:sz w:val="18"/>
          <w:szCs w:val="18"/>
        </w:rPr>
        <w:t xml:space="preserve">max_binlog_size                = 100M</w:t>
      </w:r>
    </w:p>
    <w:p>
      <w:pPr>
        <w:shd w:fill="F5F5F5" w:val="clear"/>
        <w:spacing w:after="0"/>
        <w:ind w:left="200"/>
      </w:pPr>
      <w:r>
        <w:rPr>
          <w:rFonts w:ascii="Consolas" w:cs="Consolas" w:eastAsia="Consolas" w:hAnsi="Consolas"/>
          <w:sz w:val="18"/>
          <w:szCs w:val="18"/>
        </w:rPr>
        <w:t xml:space="preserve"/>
      </w:r>
    </w:p>
    <w:p>
      <w:pPr>
        <w:shd w:fill="F5F5F5" w:val="clear"/>
        <w:spacing w:after="0"/>
        <w:ind w:left="200"/>
      </w:pPr>
      <w:r>
        <w:rPr>
          <w:rFonts w:ascii="Consolas" w:cs="Consolas" w:eastAsia="Consolas" w:hAnsi="Consolas"/>
          <w:sz w:val="18"/>
          <w:szCs w:val="18"/>
        </w:rPr>
        <w:t xml:space="preserve"># kafka.properties</w:t>
      </w:r>
    </w:p>
    <w:p>
      <w:pPr>
        <w:shd w:fill="F5F5F5" w:val="clear"/>
        <w:spacing w:after="0"/>
        <w:ind w:left="200"/>
      </w:pPr>
      <w:r>
        <w:rPr>
          <w:rFonts w:ascii="Consolas" w:cs="Consolas" w:eastAsia="Consolas" w:hAnsi="Consolas"/>
          <w:sz w:val="18"/>
          <w:szCs w:val="18"/>
        </w:rPr>
        <w:t xml:space="preserve">flush.messages = 1</w:t>
      </w:r>
    </w:p>
    <w:p>
      <w:pPr>
        <w:shd w:fill="F5F5F5" w:val="clear"/>
        <w:spacing w:after="0"/>
        <w:ind w:left="200"/>
      </w:pPr>
      <w:r>
        <w:rPr>
          <w:rFonts w:ascii="Consolas" w:cs="Consolas" w:eastAsia="Consolas" w:hAnsi="Consolas"/>
          <w:sz w:val="18"/>
          <w:szCs w:val="18"/>
        </w:rPr>
        <w:t xml:space="preserve">flush.ms       = 1000</w:t>
      </w:r>
    </w:p>
    <w:p>
      <w:pPr>
        <w:shd w:fill="F5F5F5" w:val="clear"/>
        <w:spacing w:after="0"/>
        <w:ind w:left="200"/>
      </w:pPr>
      <w:r>
        <w:rPr>
          <w:rFonts w:ascii="Consolas" w:cs="Consolas" w:eastAsia="Consolas" w:hAnsi="Consolas"/>
          <w:sz w:val="18"/>
          <w:szCs w:val="18"/>
        </w:rPr>
        <w:t xml:space="preserve">log.flush.interval.messages = 1</w:t>
      </w:r>
    </w:p>
    <w:p>
      <w:pPr>
        <w:shd w:fill="F5F5F5" w:val="clear"/>
        <w:spacing w:after="0"/>
        <w:ind w:left="200"/>
      </w:pPr>
      <w:r>
        <w:rPr>
          <w:rFonts w:ascii="Consolas" w:cs="Consolas" w:eastAsia="Consolas" w:hAnsi="Consolas"/>
          <w:sz w:val="18"/>
          <w:szCs w:val="18"/>
        </w:rPr>
        <w:t xml:space="preserve">unclean.leader.election.enable = false</w:t>
      </w:r>
    </w:p>
    <w:p>
      <w:pPr>
        <w:pStyle w:val="Heading3"/>
        <w:spacing w:after="120" w:before="200"/>
      </w:pPr>
      <w:r>
        <w:rPr>
          <w:b/>
          <w:bCs/>
          <w:color w:val="2B6CB0"/>
          <w:sz w:val="22"/>
          <w:szCs w:val="22"/>
        </w:rPr>
        <w:t xml:space="preserve">6.1.3 File-level atomicity</w:t>
      </w:r>
    </w:p>
    <w:p>
      <w:pPr>
        <w:pStyle w:val="ListParagraph"/>
        <w:numPr>
          <w:ilvl w:val="0"/>
          <w:numId w:val="2"/>
        </w:numPr>
        <w:spacing w:after="60"/>
      </w:pPr>
      <w:r>
        <w:t xml:space="preserve">Every file write uses write-then-rename (atomic on NTFS): write to &lt;file&gt;.tmp, fsync, rename.</w:t>
      </w:r>
    </w:p>
    <w:p>
      <w:pPr>
        <w:pStyle w:val="ListParagraph"/>
        <w:numPr>
          <w:ilvl w:val="0"/>
          <w:numId w:val="2"/>
        </w:numPr>
        <w:spacing w:after="60"/>
      </w:pPr>
      <w:r>
        <w:t xml:space="preserve">State.json checkpoint writes use the same pattern, ensuring power-cut returns to a valid prior state, never a torn one.</w:t>
      </w:r>
    </w:p>
    <w:p>
      <w:pPr>
        <w:pStyle w:val="ListParagraph"/>
        <w:numPr>
          <w:ilvl w:val="0"/>
          <w:numId w:val="2"/>
        </w:numPr>
        <w:spacing w:after="60"/>
      </w:pPr>
      <w:r>
        <w:t xml:space="preserve">Junction-flip during upgrade is atomic at the OS level; either current points to old or new, never both or neither.</w:t>
      </w:r>
    </w:p>
    <w:p>
      <w:pPr>
        <w:pStyle w:val="ListParagraph"/>
        <w:numPr>
          <w:ilvl w:val="0"/>
          <w:numId w:val="2"/>
        </w:numPr>
        <w:spacing w:after="60"/>
      </w:pPr>
      <w:r>
        <w:t xml:space="preserve">Backup manifest writes are signed only after all referenced files are checksummed.</w:t>
      </w:r>
    </w:p>
    <w:p>
      <w:pPr>
        <w:pStyle w:val="Heading3"/>
        <w:spacing w:after="120" w:before="200"/>
      </w:pPr>
      <w:r>
        <w:rPr>
          <w:b/>
          <w:bCs/>
          <w:color w:val="2B6CB0"/>
          <w:sz w:val="22"/>
          <w:szCs w:val="22"/>
        </w:rPr>
        <w:t xml:space="preserve">6.1.4 Per-service authentication preserves logical separation</w:t>
      </w:r>
    </w:p>
    <w:p>
      <w:pPr>
        <w:spacing w:after="120" w:line="280"/>
      </w:pPr>
      <w:r>
        <w:t xml:space="preserve">Per-service MySQL grants prevent ePACS-Loans from writing to fas_ledger or audit_log. This is structural — not merely policy — and means a compromise of one service cannot corrupt data owned by another.</w:t>
      </w:r>
    </w:p>
    <w:p>
      <w:pPr>
        <w:pStyle w:val="Heading2"/>
        <w:spacing w:after="160" w:before="280"/>
      </w:pPr>
      <w:r>
        <w:rPr>
          <w:b/>
          <w:bCs/>
          <w:color w:val="1A365D"/>
          <w:sz w:val="26"/>
          <w:szCs w:val="26"/>
        </w:rPr>
        <w:t xml:space="preserve">6.2 Cross-service coherence</w:t>
      </w:r>
    </w:p>
    <w:p>
      <w:pPr>
        <w:pStyle w:val="Heading3"/>
        <w:spacing w:after="120" w:before="200"/>
      </w:pPr>
      <w:r>
        <w:rPr>
          <w:b/>
          <w:bCs/>
          <w:color w:val="2B6CB0"/>
          <w:sz w:val="22"/>
          <w:szCs w:val="22"/>
        </w:rPr>
        <w:t xml:space="preserve">6.2.1 Cache coherence</w:t>
      </w:r>
    </w:p>
    <w:p>
      <w:pPr>
        <w:spacing w:after="120" w:line="280"/>
      </w:pPr>
      <w:r>
        <w:t xml:space="preserve">Garnet is non-authoritative. On every business write, cache entries are invalidated; on cache miss, the value is reloaded from MySQL. If Garnet AOF corrupts (G91), the agent quarantines it and starts with empty cache — no data is lost because MySQL is always the source of truth. Six-hour Garnet snapshots are included in backups for restore optimization, but never trusted authoritatively.</w:t>
      </w:r>
    </w:p>
    <w:p>
      <w:pPr>
        <w:pStyle w:val="Heading3"/>
        <w:spacing w:after="120" w:before="200"/>
      </w:pPr>
      <w:r>
        <w:rPr>
          <w:b/>
          <w:bCs/>
          <w:color w:val="2B6CB0"/>
          <w:sz w:val="22"/>
          <w:szCs w:val="22"/>
        </w:rPr>
        <w:t xml:space="preserve">6.2.2 Audit coherence</w:t>
      </w:r>
    </w:p>
    <w:p>
      <w:pPr>
        <w:spacing w:after="120" w:line="280"/>
      </w:pPr>
      <w:r>
        <w:t xml:space="preserve">The Traceability module writes to a separate erp_traceability database on the same MySQL instance. Audit writes are transactional with the originating business write where possible. Where not (e.g., async event recording), the AuditOutbox pattern guarantees eventual consistency — either both eventually appear, or audit alarms fire on the missing event during reconciliation.</w:t>
      </w:r>
    </w:p>
    <w:p>
      <w:pPr>
        <w:pStyle w:val="Heading3"/>
        <w:spacing w:after="120" w:before="200"/>
      </w:pPr>
      <w:r>
        <w:rPr>
          <w:b/>
          <w:bCs/>
          <w:color w:val="2B6CB0"/>
          <w:sz w:val="22"/>
          <w:szCs w:val="22"/>
        </w:rPr>
        <w:t xml:space="preserve">6.2.3 Schema coherence (drift detection)</w:t>
      </w:r>
    </w:p>
    <w:p>
      <w:pPr>
        <w:spacing w:after="120" w:line="280"/>
      </w:pPr>
      <w:r>
        <w:t xml:space="preserve">Manual DDL fixes accumulate at field sites over time. The schema fingerprinter snapshots every table, column, index, and FK to detect drift before any upgrade. Breaking drift blocks upgrade entirely; benign drift is recorded but allows progress. Post-upgrade fingerprint becomes the new baseline.</w:t>
      </w:r>
    </w:p>
    <w:p>
      <w:pPr>
        <w:pStyle w:val="Heading2"/>
        <w:spacing w:after="160" w:before="280"/>
      </w:pPr>
      <w:r>
        <w:rPr>
          <w:b/>
          <w:bCs/>
          <w:color w:val="1A365D"/>
          <w:sz w:val="26"/>
          <w:szCs w:val="26"/>
        </w:rPr>
        <w:t xml:space="preserve">6.3 Convergent consistency — between PACS and NLDR</w:t>
      </w:r>
    </w:p>
    <w:p>
      <w:pPr>
        <w:pStyle w:val="Heading3"/>
        <w:spacing w:after="120" w:before="200"/>
      </w:pPr>
      <w:r>
        <w:rPr>
          <w:b/>
          <w:bCs/>
          <w:color w:val="2B6CB0"/>
          <w:sz w:val="22"/>
          <w:szCs w:val="22"/>
        </w:rPr>
        <w:t xml:space="preserve">6.3.1 Idempotency invariants</w:t>
      </w:r>
    </w:p>
    <w:p>
      <w:pPr>
        <w:pStyle w:val="ListParagraph"/>
        <w:numPr>
          <w:ilvl w:val="0"/>
          <w:numId w:val="2"/>
        </w:numPr>
        <w:spacing w:after="60"/>
      </w:pPr>
      <w:r>
        <w:t xml:space="preserve">EventId — UUID v7, unique per outbox event.</w:t>
      </w:r>
    </w:p>
    <w:p>
      <w:pPr>
        <w:pStyle w:val="ListParagraph"/>
        <w:numPr>
          <w:ilvl w:val="0"/>
          <w:numId w:val="2"/>
        </w:numPr>
        <w:spacing w:after="60"/>
      </w:pPr>
      <w:r>
        <w:t xml:space="preserve">IdempotencyKey — operator/business-context-derived key for replay safety.</w:t>
      </w:r>
    </w:p>
    <w:p>
      <w:pPr>
        <w:pStyle w:val="ListParagraph"/>
        <w:numPr>
          <w:ilvl w:val="0"/>
          <w:numId w:val="2"/>
        </w:numPr>
        <w:spacing w:after="60"/>
      </w:pPr>
      <w:r>
        <w:t xml:space="preserve">PayloadHash — SHA-256 over canonicalized JSON; integrity check at receive.</w:t>
      </w:r>
    </w:p>
    <w:p>
      <w:pPr>
        <w:pStyle w:val="ListParagraph"/>
        <w:numPr>
          <w:ilvl w:val="0"/>
          <w:numId w:val="2"/>
        </w:numPr>
        <w:spacing w:after="60"/>
      </w:pPr>
      <w:r>
        <w:t xml:space="preserve">Sequence number — per-PACS monotonic; gap detection during reconciliation.</w:t>
      </w:r>
    </w:p>
    <w:p>
      <w:pPr>
        <w:pStyle w:val="ListParagraph"/>
        <w:numPr>
          <w:ilvl w:val="0"/>
          <w:numId w:val="2"/>
        </w:numPr>
        <w:spacing w:after="60"/>
      </w:pPr>
      <w:r>
        <w:t xml:space="preserve">event_id stored in sync_inbox — duplicate detection on receive at PACS.</w:t>
      </w:r>
    </w:p>
    <w:p>
      <w:pPr>
        <w:pStyle w:val="Heading3"/>
        <w:spacing w:after="120" w:before="200"/>
      </w:pPr>
      <w:r>
        <w:rPr>
          <w:b/>
          <w:bCs/>
          <w:color w:val="2B6CB0"/>
          <w:sz w:val="22"/>
          <w:szCs w:val="22"/>
        </w:rPr>
        <w:t xml:space="preserve">6.3.2 Conflict resolution</w:t>
      </w:r>
    </w:p>
    <w:p>
      <w:pPr>
        <w:spacing w:after="60" w:before="120"/>
        <w:jc w:val="center"/>
      </w:pPr>
      <w:r>
        <w:drawing>
          <wp:inline distT="0" distB="0" distL="0" distR="0">
            <wp:extent cx="5905500" cy="3429000"/>
            <wp:effectExtent t="0" r="0" b="0" l="0"/>
            <wp:docPr id="1" name="14_conflict" descr="Sync Conflict Resolution — Decision Tree (5 conflict classes)" title="Sync Conflict Resolution — Decision Tree (5 conflict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3429000"/>
                    </a:xfrm>
                    <a:prstGeom prst="rect">
                      <a:avLst/>
                    </a:prstGeom>
                  </pic:spPr>
                </pic:pic>
              </a:graphicData>
            </a:graphic>
          </wp:inline>
        </w:drawing>
      </w:r>
    </w:p>
    <w:p>
      <w:pPr>
        <w:spacing w:after="200"/>
        <w:jc w:val="center"/>
      </w:pPr>
      <w:r>
        <w:rPr>
          <w:b/>
          <w:bCs/>
          <w:i/>
          <w:iCs/>
          <w:color w:val="4A5568"/>
          <w:sz w:val="18"/>
          <w:szCs w:val="18"/>
        </w:rPr>
        <w:t xml:space="preserve">Figure: </w:t>
      </w:r>
      <w:r>
        <w:rPr>
          <w:i/>
          <w:iCs/>
          <w:color w:val="4A5568"/>
          <w:sz w:val="18"/>
          <w:szCs w:val="18"/>
        </w:rPr>
        <w:t xml:space="preserve">Sync Conflict Resolution — Decision Tree (5 conflict classes)</w:t>
      </w:r>
    </w:p>
    <w:p>
      <w:pPr>
        <w:pStyle w:val="Heading3"/>
        <w:spacing w:after="120" w:before="200"/>
      </w:pPr>
      <w:r>
        <w:rPr>
          <w:b/>
          <w:bCs/>
          <w:color w:val="2B6CB0"/>
          <w:sz w:val="22"/>
          <w:szCs w:val="22"/>
        </w:rPr>
        <w:t xml:space="preserve">6.3.3 Reconciliation</w:t>
      </w:r>
    </w:p>
    <w:p>
      <w:pPr>
        <w:spacing w:after="120" w:line="280"/>
      </w:pPr>
      <w:r>
        <w:t xml:space="preserve">ReconciliationEngine runs nightly and on-demand (post-restore, post-extended-offline). It compares local outbox checkpoints against NLDR ACKs and emits a ReconciliationReport identifying:</w:t>
      </w:r>
    </w:p>
    <w:p>
      <w:pPr>
        <w:pStyle w:val="ListParagraph"/>
        <w:numPr>
          <w:ilvl w:val="0"/>
          <w:numId w:val="2"/>
        </w:numPr>
        <w:spacing w:after="60"/>
      </w:pPr>
      <w:r>
        <w:t xml:space="preserve">Unacknowledged events — sent but no ACK received.</w:t>
      </w:r>
    </w:p>
    <w:p>
      <w:pPr>
        <w:pStyle w:val="ListParagraph"/>
        <w:numPr>
          <w:ilvl w:val="0"/>
          <w:numId w:val="2"/>
        </w:numPr>
        <w:spacing w:after="60"/>
      </w:pPr>
      <w:r>
        <w:t xml:space="preserve">Duplicate ACKs — NLDR ACK'd same event_id twice (rare; signals NLDR-side issue).</w:t>
      </w:r>
    </w:p>
    <w:p>
      <w:pPr>
        <w:pStyle w:val="ListParagraph"/>
        <w:numPr>
          <w:ilvl w:val="0"/>
          <w:numId w:val="2"/>
        </w:numPr>
        <w:spacing w:after="60"/>
      </w:pPr>
      <w:r>
        <w:t xml:space="preserve">Sequence gaps — events missing in the sequence; investigation required.</w:t>
      </w:r>
    </w:p>
    <w:p>
      <w:pPr>
        <w:pStyle w:val="ListParagraph"/>
        <w:numPr>
          <w:ilvl w:val="0"/>
          <w:numId w:val="2"/>
        </w:numPr>
        <w:spacing w:after="60"/>
      </w:pPr>
      <w:r>
        <w:t xml:space="preserve">Hash mismatches — payload tampering or transport bug.</w:t>
      </w:r>
    </w:p>
    <w:p>
      <w:pPr>
        <w:pStyle w:val="ListParagraph"/>
        <w:numPr>
          <w:ilvl w:val="0"/>
          <w:numId w:val="2"/>
        </w:numPr>
        <w:spacing w:after="60"/>
      </w:pPr>
      <w:r>
        <w:t xml:space="preserve">Pt-table-checksum drift — row-level inconsistency (e.g., post-restore).</w:t>
      </w:r>
    </w:p>
    <w:p>
      <w:pPr>
        <w:spacing w:after="120" w:line="280"/>
      </w:pPr>
      <w:r>
        <w:t xml:space="preserve">Pt-table-sync is available as an operator-initiated repair tool when drift is detected.</w:t>
      </w:r>
    </w:p>
    <w:p>
      <w:pPr>
        <w:pStyle w:val="Heading2"/>
        <w:spacing w:after="160" w:before="280"/>
      </w:pPr>
      <w:r>
        <w:rPr>
          <w:b/>
          <w:bCs/>
          <w:color w:val="1A365D"/>
          <w:sz w:val="26"/>
          <w:szCs w:val="26"/>
        </w:rPr>
        <w:t xml:space="preserve">6.4 Tamper-evidence and audit chain</w:t>
      </w:r>
    </w:p>
    <w:p>
      <w:pPr>
        <w:spacing w:after="120" w:line="280"/>
      </w:pPr>
      <w:r>
        <w:t xml:space="preserve">Beyond consistency, the system provides tamper-evidence — silent corruption is detectable. The audit log uses hash chaining: each entry includes the SHA-256 of the previous entry. Any modification to a historical entry breaks the chain and is immediately detectable on next verification. The same pattern protects backup manifests.</w:t>
      </w:r>
    </w:p>
    <w:p>
      <w:pPr>
        <w:pStyle w:val="Heading2"/>
        <w:spacing w:after="160" w:before="280"/>
      </w:pPr>
      <w:r>
        <w:rPr>
          <w:b/>
          <w:bCs/>
          <w:color w:val="1A365D"/>
          <w:sz w:val="26"/>
          <w:szCs w:val="26"/>
        </w:rPr>
        <w:t xml:space="preserve">6.5 Time monotonicity and clock drift</w:t>
      </w:r>
    </w:p>
    <w:p>
      <w:pPr>
        <w:spacing w:after="120" w:line="280"/>
      </w:pPr>
      <w:r>
        <w:t xml:space="preserve">Audit hash chains and sync ordering depend on monotonic time. The agent monitors clock drift (G16, G70):</w:t>
      </w:r>
    </w:p>
    <w:p>
      <w:pPr>
        <w:pStyle w:val="ListParagraph"/>
        <w:numPr>
          <w:ilvl w:val="0"/>
          <w:numId w:val="2"/>
        </w:numPr>
        <w:spacing w:after="60"/>
      </w:pPr>
      <w:r>
        <w:t xml:space="preserve">Compare system clock against MySQL NOW() and last-known-good audit timestamp every 30 min.</w:t>
      </w:r>
    </w:p>
    <w:p>
      <w:pPr>
        <w:pStyle w:val="ListParagraph"/>
        <w:numPr>
          <w:ilvl w:val="0"/>
          <w:numId w:val="2"/>
        </w:numPr>
        <w:spacing w:after="60"/>
      </w:pPr>
      <w:r>
        <w:t xml:space="preserve">Drift &gt; 30 s → log warning.</w:t>
      </w:r>
    </w:p>
    <w:p>
      <w:pPr>
        <w:pStyle w:val="ListParagraph"/>
        <w:numPr>
          <w:ilvl w:val="0"/>
          <w:numId w:val="2"/>
        </w:numPr>
        <w:spacing w:after="60"/>
      </w:pPr>
      <w:r>
        <w:t xml:space="preserve">Drift &gt; 5 min → block sync; sync re-enabled when drift acceptable.</w:t>
      </w:r>
    </w:p>
    <w:p>
      <w:pPr>
        <w:pStyle w:val="ListParagraph"/>
        <w:numPr>
          <w:ilvl w:val="0"/>
          <w:numId w:val="2"/>
        </w:numPr>
        <w:spacing w:after="60"/>
      </w:pPr>
      <w:r>
        <w:t xml:space="preserve">Audit-anchor monotonicity check — audit chain must be timestamp-monotonic; violation flagged.</w:t>
      </w:r>
    </w:p>
    <w:p>
      <w:pPr>
        <w:pStyle w:val="ListParagraph"/>
        <w:numPr>
          <w:ilvl w:val="0"/>
          <w:numId w:val="2"/>
        </w:numPr>
        <w:spacing w:after="60"/>
      </w:pPr>
      <w:r>
        <w:t xml:space="preserve">NTP fallback hierarchy: w32time pool → DCCB hub stratum-2 → optional GPS USB.</w:t>
      </w:r>
    </w:p>
    <w:p>
      <w:pPr>
        <w:pStyle w:val="Heading1"/>
        <w:pageBreakBefore/>
        <w:spacing w:after="200" w:before="360"/>
      </w:pPr>
      <w:r>
        <w:rPr>
          <w:b/>
          <w:bCs/>
          <w:color w:val="1A365D"/>
          <w:sz w:val="32"/>
          <w:szCs w:val="32"/>
        </w:rPr>
        <w:t xml:space="preserve">7. How Online ↔ Offline Operation Works</w:t>
      </w:r>
    </w:p>
    <w:p>
      <w:pPr>
        <w:pStyle w:val="Heading2"/>
        <w:spacing w:after="160" w:before="280"/>
      </w:pPr>
      <w:r>
        <w:rPr>
          <w:b/>
          <w:bCs/>
          <w:color w:val="1A365D"/>
          <w:sz w:val="26"/>
          <w:szCs w:val="26"/>
        </w:rPr>
        <w:t xml:space="preserve">7.1 Design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F855A" w:sz="6"/>
              <w:left w:val="single" w:color="2F855A" w:sz="6"/>
              <w:bottom w:val="single" w:color="2F855A" w:sz="6"/>
              <w:right w:val="single" w:color="2F855A" w:sz="6"/>
            </w:tcBorders>
            <w:shd w:fill="F0FFF4" w:val="clear"/>
            <w:tcMar>
              <w:top w:type="dxa" w:w="120"/>
              <w:left w:type="dxa" w:w="200"/>
              <w:bottom w:type="dxa" w:w="120"/>
              <w:right w:type="dxa" w:w="200"/>
            </w:tcMar>
          </w:tcPr>
          <w:p>
            <w:pPr>
              <w:spacing w:after="60"/>
            </w:pPr>
            <w:r>
              <w:rPr>
                <w:sz w:val="20"/>
                <w:szCs w:val="20"/>
              </w:rPr>
              <w:t xml:space="preserve">MySQL on the local PACS node is always the authoritative source of truth for business data. NLDR is a downstream system; sync to NLDR is opportunistic. Connectivity loss to NLDR never blocks business operations. Connectivity restoration triggers idempotent drain of accumulated events.</w:t>
            </w:r>
          </w:p>
        </w:tc>
      </w:tr>
    </w:tbl>
    <w:p>
      <w:pPr>
        <w:spacing w:after="60" w:before="120"/>
        <w:jc w:val="center"/>
      </w:pPr>
      <w:r>
        <w:drawing>
          <wp:inline distT="0" distB="0" distL="0" distR="0">
            <wp:extent cx="5905500" cy="3429000"/>
            <wp:effectExtent t="0" r="0" b="0" l="0"/>
            <wp:docPr id="1" name="06_online_offline" descr="Online ↔ Offline Lifecycle — What Continues, What Defers, How Convergence Happens" title="Online ↔ Offline Lifecycle — What Continues, What Defers, How Convergence Happ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3429000"/>
                    </a:xfrm>
                    <a:prstGeom prst="rect">
                      <a:avLst/>
                    </a:prstGeom>
                  </pic:spPr>
                </pic:pic>
              </a:graphicData>
            </a:graphic>
          </wp:inline>
        </w:drawing>
      </w:r>
    </w:p>
    <w:p>
      <w:pPr>
        <w:spacing w:after="200"/>
        <w:jc w:val="center"/>
      </w:pPr>
      <w:r>
        <w:rPr>
          <w:b/>
          <w:bCs/>
          <w:i/>
          <w:iCs/>
          <w:color w:val="4A5568"/>
          <w:sz w:val="18"/>
          <w:szCs w:val="18"/>
        </w:rPr>
        <w:t xml:space="preserve">Figure: </w:t>
      </w:r>
      <w:r>
        <w:rPr>
          <w:i/>
          <w:iCs/>
          <w:color w:val="4A5568"/>
          <w:sz w:val="18"/>
          <w:szCs w:val="18"/>
        </w:rPr>
        <w:t xml:space="preserve">Online ↔ Offline Lifecycle — What Continues, What Defers, How Convergence Happens</w:t>
      </w:r>
    </w:p>
    <w:p>
      <w:pPr>
        <w:pStyle w:val="Heading2"/>
        <w:spacing w:after="160" w:before="280"/>
      </w:pPr>
      <w:r>
        <w:rPr>
          <w:b/>
          <w:bCs/>
          <w:color w:val="1A365D"/>
          <w:sz w:val="26"/>
          <w:szCs w:val="26"/>
        </w:rPr>
        <w:t xml:space="preserve">7.2 What works offline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Capability</w:t>
            </w:r>
          </w:p>
        </w:tc>
        <w:tc>
          <w:tcPr>
            <w:tcW w:type="dxa" w:w="63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Behavior offline</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Business operations</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All loans, deposits, FAS, membership, trade transactions execute against local MySQL with full ACID.</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Audit logging</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Traceability module writes to local erp_traceability DB; hash chain continues.</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Local Kafka relay</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Outbox.Relay continues to drain MySQL outbox into local Kafka topics.</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Cache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Garnet operates normally; MySQL refills on miss.</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Backups</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Installer Agent runs scheduled backups against local data.</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Health, drift, log rotation</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All Installer Agent monitors continue operating.</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File sync (local file capture)</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FileSyncMonitor continues hashing and queuing files; uploads queue.</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Operator ePACS Web</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Available on PACS LAN at HTTPS 443.</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epacs-ping.exe</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Returns local-only health summary; sync state shows OPEN circuit.</w:t>
            </w:r>
          </w:p>
        </w:tc>
      </w:tr>
    </w:tbl>
    <w:p>
      <w:pPr>
        <w:pStyle w:val="Heading2"/>
        <w:spacing w:after="160" w:before="280"/>
      </w:pPr>
      <w:r>
        <w:rPr>
          <w:b/>
          <w:bCs/>
          <w:color w:val="1A365D"/>
          <w:sz w:val="26"/>
          <w:szCs w:val="26"/>
        </w:rPr>
        <w:t xml:space="preserve">7.3 What pauses offline (queues for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Capability</w:t>
            </w:r>
          </w:p>
        </w:tc>
        <w:tc>
          <w:tcPr>
            <w:tcW w:type="dxa" w:w="63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Behavior</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NLDR sync (outbound)</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Events queue in MySQL sync_outbox; circuit moves to OPEN; drain on reconnect.</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NLDR commands (inbound)</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Cannot arrive while offline; processed in priority order on reconnect.</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File sync uploads</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Hash and batch persisted; uploads queued; resume from last ACK'd chunk on reconnect.</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Heartbeat to CoopsIndia</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Fire-and-forget; circuit-breaker silent; resumes on reconnect (no historic backfill).</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Fleet Health Manifest</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Same as heartbeat; opportunistic upload.</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Sync conflict resolution UI</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Conflicts visible only after reconnect drains pending events; deferred decisions logged.</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ATA / root-CA / installer self-update</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Polled when sync window available.</w:t>
            </w:r>
          </w:p>
        </w:tc>
      </w:tr>
    </w:tbl>
    <w:p>
      <w:pPr>
        <w:pStyle w:val="Heading2"/>
        <w:spacing w:after="160" w:before="280"/>
      </w:pPr>
      <w:r>
        <w:rPr>
          <w:b/>
          <w:bCs/>
          <w:color w:val="1A365D"/>
          <w:sz w:val="26"/>
          <w:szCs w:val="26"/>
        </w:rPr>
        <w:t xml:space="preserve">7.4 Connectivity state machine</w:t>
      </w:r>
    </w:p>
    <w:p>
      <w:pPr>
        <w:spacing w:after="120" w:line="280"/>
      </w:pPr>
      <w:r>
        <w:t xml:space="preserve">ConnectivityMonitor implements a circuit breaker with three states. Bandwidth detection on every probe enables adaptive chunking — 1 MB chunks on 4G, 256 KB on 3G, 64 KB on 2G — so file sync remains responsive on very slow links.</w:t>
      </w:r>
    </w:p>
    <w:p>
      <w:pPr>
        <w:pStyle w:val="Heading2"/>
        <w:spacing w:after="160" w:before="280"/>
      </w:pPr>
      <w:r>
        <w:rPr>
          <w:b/>
          <w:bCs/>
          <w:color w:val="1A365D"/>
          <w:sz w:val="26"/>
          <w:szCs w:val="26"/>
        </w:rPr>
        <w:t xml:space="preserve">7.5 Recovery sequence on reconnect</w:t>
      </w:r>
    </w:p>
    <w:p>
      <w:pPr>
        <w:spacing w:after="120" w:line="280"/>
      </w:pPr>
      <w:r>
        <w:t xml:space="preserve">When the circuit transitions back to CONNECTED, a strict convergence sequence runs:</w:t>
      </w:r>
    </w:p>
    <w:p>
      <w:pPr>
        <w:pStyle w:val="ListParagraph"/>
        <w:numPr>
          <w:ilvl w:val="0"/>
          <w:numId w:val="2"/>
        </w:numPr>
        <w:spacing w:after="60"/>
      </w:pPr>
      <w:r>
        <w:rPr>
          <w:b/>
          <w:bCs/>
        </w:rPr>
        <w:t xml:space="preserve">Step 1 — Probe</w:t>
      </w:r>
      <w:r>
        <w:t xml:space="preserve">: HTTPS HEAD to NLDR endpoint; latency measured for bandwidth tier.</w:t>
      </w:r>
    </w:p>
    <w:p>
      <w:pPr>
        <w:pStyle w:val="ListParagraph"/>
        <w:numPr>
          <w:ilvl w:val="0"/>
          <w:numId w:val="2"/>
        </w:numPr>
        <w:spacing w:after="60"/>
      </w:pPr>
      <w:r>
        <w:rPr>
          <w:b/>
          <w:bCs/>
        </w:rPr>
        <w:t xml:space="preserve">Step 2 — Negotiate</w:t>
      </w:r>
      <w:r>
        <w:t xml:space="preserve">: Sync protocol version handshake; schema_version match check; ATA refresh.</w:t>
      </w:r>
    </w:p>
    <w:p>
      <w:pPr>
        <w:pStyle w:val="ListParagraph"/>
        <w:numPr>
          <w:ilvl w:val="0"/>
          <w:numId w:val="2"/>
        </w:numPr>
        <w:spacing w:after="60"/>
      </w:pPr>
      <w:r>
        <w:rPr>
          <w:b/>
          <w:bCs/>
        </w:rPr>
        <w:t xml:space="preserve">Step 3 — Drain outbox</w:t>
      </w:r>
      <w:r>
        <w:t xml:space="preserve">: Priority order — financial → audit → anomaly flags → master data → file uploads → fleet manifest. Target ≥ 1,000 events/min.</w:t>
      </w:r>
    </w:p>
    <w:p>
      <w:pPr>
        <w:pStyle w:val="ListParagraph"/>
        <w:numPr>
          <w:ilvl w:val="0"/>
          <w:numId w:val="2"/>
        </w:numPr>
        <w:spacing w:after="60"/>
      </w:pPr>
      <w:r>
        <w:rPr>
          <w:b/>
          <w:bCs/>
        </w:rPr>
        <w:t xml:space="preserve">Step 4 — Process inbox</w:t>
      </w:r>
      <w:r>
        <w:t xml:space="preserve">: Apply central updates (master data, policies); resolve conflicts via decision tree.</w:t>
      </w:r>
    </w:p>
    <w:p>
      <w:pPr>
        <w:pStyle w:val="ListParagraph"/>
        <w:numPr>
          <w:ilvl w:val="0"/>
          <w:numId w:val="2"/>
        </w:numPr>
        <w:spacing w:after="60"/>
      </w:pPr>
      <w:r>
        <w:rPr>
          <w:b/>
          <w:bCs/>
        </w:rPr>
        <w:t xml:space="preserve">Step 5 — Reconcile</w:t>
      </w:r>
      <w:r>
        <w:t xml:space="preserve">: Compare ACKs vs outbox; emit ReconciliationReport; surface anomalies in health dashboard.</w:t>
      </w:r>
    </w:p>
    <w:p>
      <w:pPr>
        <w:pStyle w:val="Heading2"/>
        <w:spacing w:after="160" w:before="280"/>
      </w:pPr>
      <w:r>
        <w:rPr>
          <w:b/>
          <w:bCs/>
          <w:color w:val="1A365D"/>
          <w:sz w:val="26"/>
          <w:szCs w:val="26"/>
        </w:rPr>
        <w:t xml:space="preserve">7.6 Bounded outbox growth (G66)</w:t>
      </w:r>
    </w:p>
    <w:p>
      <w:pPr>
        <w:spacing w:after="120" w:line="280"/>
      </w:pPr>
      <w:r>
        <w:t xml:space="preserve">Without bounds, a 30+ day outage at NLDR could fill disk and choke MySQL. Backpressure thresholds:</w:t>
      </w:r>
    </w:p>
    <w:p>
      <w:pPr>
        <w:pStyle w:val="ListParagraph"/>
        <w:numPr>
          <w:ilvl w:val="0"/>
          <w:numId w:val="2"/>
        </w:numPr>
        <w:spacing w:after="60"/>
      </w:pPr>
      <w:r>
        <w:t xml:space="preserve">Soft ceiling 500 K events → health dashboard YELLOW; "days to ceiling" gauge displayed to operator.</w:t>
      </w:r>
    </w:p>
    <w:p>
      <w:pPr>
        <w:pStyle w:val="ListParagraph"/>
        <w:numPr>
          <w:ilvl w:val="0"/>
          <w:numId w:val="2"/>
        </w:numPr>
        <w:spacing w:after="60"/>
      </w:pPr>
      <w:r>
        <w:t xml:space="preserve">Hard ceiling 2 M events → telemetry/non-financial events deferred to sync_outbox_overflow cold-storage table.</w:t>
      </w:r>
    </w:p>
    <w:p>
      <w:pPr>
        <w:pStyle w:val="ListParagraph"/>
        <w:numPr>
          <w:ilvl w:val="0"/>
          <w:numId w:val="2"/>
        </w:numPr>
        <w:spacing w:after="60"/>
      </w:pPr>
      <w:r>
        <w:t xml:space="preserve">Financial transactions are NEVER deferred — they remain in main outbox until delivered.</w:t>
      </w:r>
    </w:p>
    <w:p>
      <w:pPr>
        <w:pStyle w:val="ListParagraph"/>
        <w:numPr>
          <w:ilvl w:val="0"/>
          <w:numId w:val="2"/>
        </w:numPr>
        <w:spacing w:after="60"/>
      </w:pPr>
      <w:r>
        <w:t xml:space="preserve">Audit events maintain priority ordering even under backpressure.</w:t>
      </w:r>
    </w:p>
    <w:p>
      <w:pPr>
        <w:pStyle w:val="Heading2"/>
        <w:spacing w:after="160" w:before="280"/>
      </w:pPr>
      <w:r>
        <w:rPr>
          <w:b/>
          <w:bCs/>
          <w:color w:val="1A365D"/>
          <w:sz w:val="26"/>
          <w:szCs w:val="26"/>
        </w:rPr>
        <w:t xml:space="preserve">7.7 File sync architecture (offline-aware)</w:t>
      </w:r>
    </w:p>
    <w:p>
      <w:pPr>
        <w:spacing w:after="60" w:before="120"/>
        <w:jc w:val="center"/>
      </w:pPr>
      <w:r>
        <w:drawing>
          <wp:inline distT="0" distB="0" distL="0" distR="0">
            <wp:extent cx="5905500" cy="3429000"/>
            <wp:effectExtent t="0" r="0" b="0" l="0"/>
            <wp:docPr id="1" name="11_file_sync" descr="File Sync Pipeline — Hash Dedup, Peak-Hour Deferral, Resumable Chunked Upload" title="File Sync Pipeline — Hash Dedup, Peak-Hour Deferral, Resumable Chunked Up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05500" cy="3429000"/>
                    </a:xfrm>
                    <a:prstGeom prst="rect">
                      <a:avLst/>
                    </a:prstGeom>
                  </pic:spPr>
                </pic:pic>
              </a:graphicData>
            </a:graphic>
          </wp:inline>
        </w:drawing>
      </w:r>
    </w:p>
    <w:p>
      <w:pPr>
        <w:spacing w:after="200"/>
        <w:jc w:val="center"/>
      </w:pPr>
      <w:r>
        <w:rPr>
          <w:b/>
          <w:bCs/>
          <w:i/>
          <w:iCs/>
          <w:color w:val="4A5568"/>
          <w:sz w:val="18"/>
          <w:szCs w:val="18"/>
        </w:rPr>
        <w:t xml:space="preserve">Figure: </w:t>
      </w:r>
      <w:r>
        <w:rPr>
          <w:i/>
          <w:iCs/>
          <w:color w:val="4A5568"/>
          <w:sz w:val="18"/>
          <w:szCs w:val="18"/>
        </w:rPr>
        <w:t xml:space="preserve">File Sync Pipeline — Hash Dedup, Peak-Hour Deferral, Resumable Chunked Upload</w:t>
      </w:r>
    </w:p>
    <w:p>
      <w:pPr>
        <w:pStyle w:val="Heading2"/>
        <w:spacing w:after="160" w:before="280"/>
      </w:pPr>
      <w:r>
        <w:rPr>
          <w:b/>
          <w:bCs/>
          <w:color w:val="1A365D"/>
          <w:sz w:val="26"/>
          <w:szCs w:val="26"/>
        </w:rPr>
        <w:t xml:space="preserve">7.8 30-day offline drill (validation)</w:t>
      </w:r>
    </w:p>
    <w:p>
      <w:pPr>
        <w:spacing w:after="120" w:line="280"/>
      </w:pPr>
      <w:r>
        <w:t xml:space="preserve">The 30-day offline drill is part of Phase 3 exit criteria. It validates that:</w:t>
      </w:r>
    </w:p>
    <w:p>
      <w:pPr>
        <w:pStyle w:val="ListParagraph"/>
        <w:numPr>
          <w:ilvl w:val="0"/>
          <w:numId w:val="2"/>
        </w:numPr>
        <w:spacing w:after="60"/>
      </w:pPr>
      <w:r>
        <w:t xml:space="preserve">All business operations continue; no service crashes; no data loss.</w:t>
      </w:r>
    </w:p>
    <w:p>
      <w:pPr>
        <w:pStyle w:val="ListParagraph"/>
        <w:numPr>
          <w:ilvl w:val="0"/>
          <w:numId w:val="2"/>
        </w:numPr>
        <w:spacing w:after="60"/>
      </w:pPr>
      <w:r>
        <w:t xml:space="preserve">Backups complete daily; chain attestation continuous.</w:t>
      </w:r>
    </w:p>
    <w:p>
      <w:pPr>
        <w:pStyle w:val="ListParagraph"/>
        <w:numPr>
          <w:ilvl w:val="0"/>
          <w:numId w:val="2"/>
        </w:numPr>
        <w:spacing w:after="60"/>
      </w:pPr>
      <w:r>
        <w:t xml:space="preserve">Outbox grows but stays under 2 M ceiling; financial transactions retained.</w:t>
      </w:r>
    </w:p>
    <w:p>
      <w:pPr>
        <w:pStyle w:val="ListParagraph"/>
        <w:numPr>
          <w:ilvl w:val="0"/>
          <w:numId w:val="2"/>
        </w:numPr>
        <w:spacing w:after="60"/>
      </w:pPr>
      <w:r>
        <w:t xml:space="preserve">On reconnect, drain completes in priority order; ≥ 1,000 events/min.</w:t>
      </w:r>
    </w:p>
    <w:p>
      <w:pPr>
        <w:pStyle w:val="ListParagraph"/>
        <w:numPr>
          <w:ilvl w:val="0"/>
          <w:numId w:val="2"/>
        </w:numPr>
        <w:spacing w:after="60"/>
      </w:pPr>
      <w:r>
        <w:t xml:space="preserve">No duplicates at NLDR; no out-of-order; no hash mismatch.</w:t>
      </w:r>
    </w:p>
    <w:p>
      <w:pPr>
        <w:pStyle w:val="Heading1"/>
        <w:pageBreakBefore/>
        <w:spacing w:after="200" w:before="360"/>
      </w:pPr>
      <w:r>
        <w:rPr>
          <w:b/>
          <w:bCs/>
          <w:color w:val="1A365D"/>
          <w:sz w:val="32"/>
          <w:szCs w:val="32"/>
        </w:rPr>
        <w:t xml:space="preserve">8. Patterns, Best Practices, and Scenarios Covered</w:t>
      </w:r>
    </w:p>
    <w:p>
      <w:pPr>
        <w:pStyle w:val="Heading2"/>
        <w:spacing w:after="160" w:before="280"/>
      </w:pPr>
      <w:r>
        <w:rPr>
          <w:b/>
          <w:bCs/>
          <w:color w:val="1A365D"/>
          <w:sz w:val="26"/>
          <w:szCs w:val="26"/>
        </w:rPr>
        <w:t xml:space="preserve">8.1 Patterns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Pattern</w:t>
            </w:r>
          </w:p>
        </w:tc>
        <w:tc>
          <w:tcPr>
            <w:tcW w:type="dxa" w:w="69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Where used</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Transactional Outbox</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Sync events committed atomically with business writes (Sync.Agent)</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Dead Letter Queue</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Kafka epacs.local.dead-letter for sync events that exhausted retries</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Circuit Breaker</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ConnectivityMonitor (Connected/Half-Open/Open) for NLDR</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Polly retry + jittered backoff</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All outbound HTTP and Kafka publish operations</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Side-by-Side Deployment</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C:\Program Files\ePACS\releases\&lt;v&gt;\ + junction-flip</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Expand-Migrate-Contract</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Schema migration phases enforced by DbUp script header</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Saga (compensating actions)</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Upgrade rollback: stop-flip-restore as compensations of stage-flip-start</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Hexagonal / Ports-and-Adapters</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ISyncTransport, ICache, ICodeSigner, IFileSyncTransport, IAuditChain</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Strategy</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DDL classifier picks INSTANT/INPLACE/COPY; pt-osc routing</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State Machine</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Installer phases with durable checkpoints and recovery</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CQRS-light</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Read-side health endpoints cached separately from authoritative MySQL writes</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Worker / Background Service</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Installer.Agent, Sync.Agent, Outbox.Relay as Windows services</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Configuration-as-Code</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.epcfg signed pack; appsettings hierarchies; option pattern</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Hash Chain (Merkle-light)</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Audit log; backup manifest chain (G87)</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Repository / Unit-of-Work</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BackupEngine, RestoreEngine, MigrationRunner own transactions</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Factory</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IInstallerErrorFactory creates typed exceptions stamped with correlation_id</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Observer / Monitor</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IMonitor implementations under Installer.Agent</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Idempotent Receiver</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InboxProcessor checks event_id against sync_inbox before applying</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Two-Person Rule</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Production signing pipeline (G67)</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Kill-Switch / Allow-List</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ATA (G68) for code-signing key compromise response</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Tombstone / Soft Delete</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Critical tables retain deleted_at instead of hard DELETE for audit</w:t>
            </w:r>
          </w:p>
        </w:tc>
      </w:tr>
    </w:tbl>
    <w:p>
      <w:pPr>
        <w:pStyle w:val="Heading2"/>
        <w:spacing w:after="160" w:before="280"/>
      </w:pPr>
      <w:r>
        <w:rPr>
          <w:b/>
          <w:bCs/>
          <w:color w:val="1A365D"/>
          <w:sz w:val="26"/>
          <w:szCs w:val="26"/>
        </w:rPr>
        <w:t xml:space="preserve">8.2 Best practices encoded</w:t>
      </w:r>
    </w:p>
    <w:p>
      <w:pPr>
        <w:pStyle w:val="ListParagraph"/>
        <w:numPr>
          <w:ilvl w:val="0"/>
          <w:numId w:val="2"/>
        </w:numPr>
        <w:spacing w:after="60"/>
      </w:pPr>
      <w:r>
        <w:t xml:space="preserve">All file writes are write-then-rename atomic; no torn writes possible.</w:t>
      </w:r>
    </w:p>
    <w:p>
      <w:pPr>
        <w:pStyle w:val="ListParagraph"/>
        <w:numPr>
          <w:ilvl w:val="0"/>
          <w:numId w:val="2"/>
        </w:numPr>
        <w:spacing w:after="60"/>
      </w:pPr>
      <w:r>
        <w:t xml:space="preserve">Service registration is idempotent — running install twice yields byte-identical state (Appendix L of plan).</w:t>
      </w:r>
    </w:p>
    <w:p>
      <w:pPr>
        <w:pStyle w:val="ListParagraph"/>
        <w:numPr>
          <w:ilvl w:val="0"/>
          <w:numId w:val="2"/>
        </w:numPr>
        <w:spacing w:after="60"/>
      </w:pPr>
      <w:r>
        <w:t xml:space="preserve">Locale-sensitive parsers banned (DateTime.Parse, decimal.Parse without InvariantCulture); analyzer enforces (G73).</w:t>
      </w:r>
    </w:p>
    <w:p>
      <w:pPr>
        <w:pStyle w:val="ListParagraph"/>
        <w:numPr>
          <w:ilvl w:val="0"/>
          <w:numId w:val="2"/>
        </w:numPr>
        <w:spacing w:after="60"/>
      </w:pPr>
      <w:r>
        <w:t xml:space="preserve">All datetimes serialized as ISO 8601 UTC; localized only at UI.</w:t>
      </w:r>
    </w:p>
    <w:p>
      <w:pPr>
        <w:pStyle w:val="ListParagraph"/>
        <w:numPr>
          <w:ilvl w:val="0"/>
          <w:numId w:val="2"/>
        </w:numPr>
        <w:spacing w:after="60"/>
      </w:pPr>
      <w:r>
        <w:t xml:space="preserve">Path comparisons use OrdinalIgnoreCase; UTF-8 file I/O explicit.</w:t>
      </w:r>
    </w:p>
    <w:p>
      <w:pPr>
        <w:pStyle w:val="ListParagraph"/>
        <w:numPr>
          <w:ilvl w:val="0"/>
          <w:numId w:val="2"/>
        </w:numPr>
        <w:spacing w:after="60"/>
      </w:pPr>
      <w:r>
        <w:t xml:space="preserve">File names normalized to NFC at upload (Indic script duplicate prevention).</w:t>
      </w:r>
    </w:p>
    <w:p>
      <w:pPr>
        <w:pStyle w:val="ListParagraph"/>
        <w:numPr>
          <w:ilvl w:val="0"/>
          <w:numId w:val="2"/>
        </w:numPr>
        <w:spacing w:after="60"/>
      </w:pPr>
      <w:r>
        <w:t xml:space="preserve">Process-level mutex + MySQL advisory lock (belt-and-suspenders) prevent concurrent runners.</w:t>
      </w:r>
    </w:p>
    <w:p>
      <w:pPr>
        <w:pStyle w:val="ListParagraph"/>
        <w:numPr>
          <w:ilvl w:val="0"/>
          <w:numId w:val="2"/>
        </w:numPr>
        <w:spacing w:after="60"/>
      </w:pPr>
      <w:r>
        <w:t xml:space="preserve">Backup target validation rejects FAT32/SMB for physical backup; only logical can target removable media.</w:t>
      </w:r>
    </w:p>
    <w:p>
      <w:pPr>
        <w:pStyle w:val="ListParagraph"/>
        <w:numPr>
          <w:ilvl w:val="0"/>
          <w:numId w:val="2"/>
        </w:numPr>
        <w:spacing w:after="60"/>
      </w:pPr>
      <w:r>
        <w:t xml:space="preserve">Health endpoints rate-limited and cached (G79) — no MySQL hammering by external probes.</w:t>
      </w:r>
    </w:p>
    <w:p>
      <w:pPr>
        <w:pStyle w:val="ListParagraph"/>
        <w:numPr>
          <w:ilvl w:val="0"/>
          <w:numId w:val="2"/>
        </w:numPr>
        <w:spacing w:after="60"/>
      </w:pPr>
      <w:r>
        <w:t xml:space="preserve">All option classes (BackupOptions, FileSyncOptions, etc.) validated on app start; missing/invalid values fail fast with clear errors.</w:t>
      </w:r>
    </w:p>
    <w:p>
      <w:pPr>
        <w:pStyle w:val="ListParagraph"/>
        <w:numPr>
          <w:ilvl w:val="0"/>
          <w:numId w:val="2"/>
        </w:numPr>
        <w:spacing w:after="60"/>
      </w:pPr>
      <w:r>
        <w:t xml:space="preserve">All long operations write progress checkpoints; can resume after interruption.</w:t>
      </w:r>
    </w:p>
    <w:p>
      <w:pPr>
        <w:pStyle w:val="ListParagraph"/>
        <w:numPr>
          <w:ilvl w:val="0"/>
          <w:numId w:val="2"/>
        </w:numPr>
        <w:spacing w:after="60"/>
      </w:pPr>
      <w:r>
        <w:t xml:space="preserve">Critical operations require Override Token + typed confirmation (purge, force-upgrade, accept-conflict-local).</w:t>
      </w:r>
    </w:p>
    <w:p>
      <w:pPr>
        <w:pStyle w:val="Heading2"/>
        <w:spacing w:after="160" w:before="280"/>
      </w:pPr>
      <w:r>
        <w:rPr>
          <w:b/>
          <w:bCs/>
          <w:color w:val="1A365D"/>
          <w:sz w:val="26"/>
          <w:szCs w:val="26"/>
        </w:rPr>
        <w:t xml:space="preserve">8.3 Anti-patterns explicitly avoided</w:t>
      </w:r>
    </w:p>
    <w:p>
      <w:pPr>
        <w:pStyle w:val="ListParagraph"/>
        <w:numPr>
          <w:ilvl w:val="0"/>
          <w:numId w:val="2"/>
        </w:numPr>
        <w:spacing w:after="60"/>
      </w:pPr>
      <w:r>
        <w:t xml:space="preserve">No dual-write across MySQL and Kafka — outbox pattern instead.</w:t>
      </w:r>
    </w:p>
    <w:p>
      <w:pPr>
        <w:pStyle w:val="ListParagraph"/>
        <w:numPr>
          <w:ilvl w:val="0"/>
          <w:numId w:val="2"/>
        </w:numPr>
        <w:spacing w:after="60"/>
      </w:pPr>
      <w:r>
        <w:t xml:space="preserve">No use of Kafka offset alone for sync checkpointing — durable in MySQL sync_checkpoints.</w:t>
      </w:r>
    </w:p>
    <w:p>
      <w:pPr>
        <w:pStyle w:val="ListParagraph"/>
        <w:numPr>
          <w:ilvl w:val="0"/>
          <w:numId w:val="2"/>
        </w:numPr>
        <w:spacing w:after="60"/>
      </w:pPr>
      <w:r>
        <w:t xml:space="preserve">No browser localStorage for state — all state in MySQL or signed durable files.</w:t>
      </w:r>
    </w:p>
    <w:p>
      <w:pPr>
        <w:pStyle w:val="ListParagraph"/>
        <w:numPr>
          <w:ilvl w:val="0"/>
          <w:numId w:val="2"/>
        </w:numPr>
        <w:spacing w:after="60"/>
      </w:pPr>
      <w:r>
        <w:t xml:space="preserve">No mutable state in side-by-side releases directory — releases\&lt;v&gt;\ is immutable post-install.</w:t>
      </w:r>
    </w:p>
    <w:p>
      <w:pPr>
        <w:pStyle w:val="ListParagraph"/>
        <w:numPr>
          <w:ilvl w:val="0"/>
          <w:numId w:val="2"/>
        </w:numPr>
        <w:spacing w:after="60"/>
      </w:pPr>
      <w:r>
        <w:t xml:space="preserve">No auto-format of existing Kafka log.dirs — format only on empty directory.</w:t>
      </w:r>
    </w:p>
    <w:p>
      <w:pPr>
        <w:pStyle w:val="ListParagraph"/>
        <w:numPr>
          <w:ilvl w:val="0"/>
          <w:numId w:val="2"/>
        </w:numPr>
        <w:spacing w:after="60"/>
      </w:pPr>
      <w:r>
        <w:t xml:space="preserve">No INSERT IGNORE used to mask FK violations (only used intentionally for idempotent seeds).</w:t>
      </w:r>
    </w:p>
    <w:p>
      <w:pPr>
        <w:pStyle w:val="ListParagraph"/>
        <w:numPr>
          <w:ilvl w:val="0"/>
          <w:numId w:val="2"/>
        </w:numPr>
        <w:spacing w:after="60"/>
      </w:pPr>
      <w:r>
        <w:t xml:space="preserve">No password equality comparison via String.Equals — fixed-time compare used.</w:t>
      </w:r>
    </w:p>
    <w:p>
      <w:pPr>
        <w:pStyle w:val="ListParagraph"/>
        <w:numPr>
          <w:ilvl w:val="0"/>
          <w:numId w:val="2"/>
        </w:numPr>
        <w:spacing w:after="60"/>
      </w:pPr>
      <w:r>
        <w:t xml:space="preserve">No SELECT * in migration scripts — explicit columns to avoid drift surprises.</w:t>
      </w:r>
    </w:p>
    <w:p>
      <w:pPr>
        <w:pStyle w:val="Heading2"/>
        <w:spacing w:after="160" w:before="280"/>
      </w:pPr>
      <w:r>
        <w:rPr>
          <w:b/>
          <w:bCs/>
          <w:color w:val="1A365D"/>
          <w:sz w:val="26"/>
          <w:szCs w:val="26"/>
        </w:rPr>
        <w:t xml:space="preserve">8.4 Scenarios covered (with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Scenario</w:t>
            </w:r>
          </w:p>
        </w:tc>
        <w:tc>
          <w:tcPr>
            <w:tcW w:type="dxa" w:w="63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Behavior / mitigation</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Power-cut mid-install (extraction phase)</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state.json checkpoint; on restart, RECOVERY mode resumes from last extracted payload.</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Power-cut mid-upgrade (migration phase)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DbUp checkpoint per script; advisory lock cleared; runner resumes from last committed script.</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Power-cut mid-junction-flip</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Junction is atomic; either old or new active; no in-between.</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Power-cut mid-backup</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Manifest only signed at end; incomplete backup discarded; previous valid backup retained.</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Power-cut mid-restore</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Pre-restore safety backup exists; revert and retry.</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MySQL crash</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innodb_doublewrite + crash recovery; service auto-restart; agent collects support bundle on 5 fails.</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Garnet AOF corruption</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Quarantine AOF; start empty cache; refill from MySQL; 6h snapshots in backup (G91).</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Kafka unclean shutdown</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flush.messages=1 + flush.ms=1000; KRaft single-node metadata recovery; never auto-format existing datadir.</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AV quarantines binary</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Detection in agent; restore from media or quarantine; Authenticode + ATA re-verified.</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Disk full during backup</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Backup target validation pre-check (1.5x size); adaptive eviction (G84) at &lt; 20% free.</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Disk full during business ops</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Tiered alerts (G24): Yellow 20%, Red 10%, Critical 5%; Critical blocks non-essential writes.</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Clock drift &gt; 5 min</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Sync blocked; agent warns; operator runs w32time sync; audit-anchor monotonicity check.</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NLDR offline 30+ days</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Outbox grows under ceilings (G66); financial preserved; drain on reconnect.</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USB media corrupted</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SHA-256 verify before extraction (G33); per-part hashes for split media; clear E019 error.</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Concurrent installer execution</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Process mutex (G32) + MySQL advisory lock (G76); E018 / E021.</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Schema drift (manual DDL)</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Fingerprint diff (G45); breaking drift blocks upgrade; remediation script generated.</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Skip-version upgrade (N-2 → N)</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DbUp detects gap; applies cumulative deltas; tested per supported skip path (G90).</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Restore on different hardware class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Cross-profile detection (G85); regenerate my.ini, Garnet limits, Kestrel pool.</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Code-signing key compromised</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Compromise runbook (Appendix M); ATA blacklist deployed within 24h; new cert + re-sign.</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GPO disables ePACS service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GPO compatibility precheck (G72); explicit service-disabled-by-policy alert (not drift).</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Stale Windows root-CA</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Bundled root-CA snapshot per release; staleness health check at 18 / 24 months (G71).</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NTP unavailable (air-gapped)</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Multi-tier fallback (G70); audit-anchor monotonicity; weekly operator time check.</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Operator runs install twice</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Idempotency invariants (G75) — byte-identical state after second run.</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Operator force-kills installer</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RECOVERY mode on next launch resumes from last checkpoint.</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Operator manually edits config</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Drift detection (G22) flags; repair mode restores from templates if requested.</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Operator types wrong PACS ID</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.epcfg-signed PACS ID prevails; manual entry validated against state registry format.</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Override Token replay</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Nonce store rejects (G14).</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Sync forgery attempt</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mTLS + payload SHA-256 + sequence + nonce; rejected at multiple layers.</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Indic script roundtrip (Hindi name with conjuncts)</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utf8mb4_0900_ai_ci validated; NFC normalization; locale test corpus (G73).</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DST transition during scheduled task</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Time-skip tests cover transitions (G74); scheduler uses UTC internally.</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Large dataset migration (100 GB DB)</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XtraBackup incremental + pt-online-schema-change for COPY DDL on &gt; 1M-row tables.</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AUTO_INCREMENT overflow risk</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Daily monitoring (G49); 50 % triggers warning; 75 % blocks upgrade.</w:t>
            </w:r>
          </w:p>
        </w:tc>
      </w:tr>
    </w:tbl>
    <w:p>
      <w:pPr>
        <w:pStyle w:val="Heading1"/>
        <w:pageBreakBefore/>
        <w:spacing w:after="200" w:before="360"/>
      </w:pPr>
      <w:r>
        <w:rPr>
          <w:b/>
          <w:bCs/>
          <w:color w:val="1A365D"/>
          <w:sz w:val="32"/>
          <w:szCs w:val="32"/>
        </w:rPr>
        <w:t xml:space="preserve">9.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Term</w:t>
            </w:r>
          </w:p>
        </w:tc>
        <w:tc>
          <w:tcPr>
            <w:tcW w:type="dxa" w:w="69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Definition</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ACL</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Access Control List — Windows file-system permission set.</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ATA</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Anti-Tamper Allowlist — signed list of trusted code-signing certificate thumbprints, refreshed via sync. Supports rapid revocation if a signing key is compromised.</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AC-001 … AC-012</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Acceptance criteria from BRD.</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Authenticode</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Microsoft technology for digitally signing executable files.</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Backup chain</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Merkle-style linkage where each backup manifest references the previous backup's signature, enabling tamper detection.</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BRD</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Business Requirements Document.</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BR sigil naming</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ePACSWeb, ePACSMySQL, ePACSCache, ePACSEventing, ePACS-Loans, ePACSSync, ePACSInstallerAgent — Windows service names.</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Burn</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WiX v4 bundle/chain installer technology. Hosts a Managed Bootstrapper Application written in C#.</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Circuit breaker</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Pattern with Connected/Half-Open/Open states to fail fast on persistent downstream failures.</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CoopsIndia Dashboard</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Central HQ dashboard for fleet visibility (heartbeats and Fleet Health Manifest).</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Correlation ID</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UUID v7 stamped on every operation; propagated to logs, audit, sync envelope, support bundle.</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DCCB</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District Central Cooperative Bank — larger PACS hub site.</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DbUp</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.NET-native forward-only schema migration framework with checkpoint-per-script.</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DPAPI</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Windows Data Protection API — machine-bound key derivation.</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Drift (config)</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When generated configuration files differ from the hash recorded at install/upgrade time.</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Drift (schema)</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When the live MySQL schema differs from the expected baseline for the installed version.</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EV cert</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Extended Validation Authenticode certificate; trusted by Windows SmartScreen.</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Expand-Migrate-Contract</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Three-phase schema change pattern that preserves rollback capability across releases.</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.epcfg</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Site Configuration Pack — signed and encrypted JSON descriptor for a specific PACS installation.</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Fingerprint (schema)</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INFORMATION_SCHEMA-derived snapshot of tables, columns, indexes, FKs, charset, collation, hashed for drift comparison.</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Fleet Health Manifest</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Privacy-minimized telemetry payload from PACS to CoopsIndia (versions, health, sync lag, disk %, cert expiry).</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Garnet</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Microsoft OSS Redis-compatible cache built on .NET 8.</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Gap (G##)</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Risk or missing capability identified in the plan, with a documented mitigation.</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Heartbeat</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Periodic liveness ping from PACS to CoopsIndia Dashboard (HTTPS or WebSocket).</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HSM</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Hardware Security Module.</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Idempotency key</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Application-level identifier to ensure replays do not produce duplicate effects.</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in-toto</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Framework for collecting and verifying provenance attestations across software supply chain.</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Junction</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NTFS reparse point used for atomic version switching (current → releases\&lt;v&gt;).</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Kestrel</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Cross-platform .NET web server hosted under Windows Service.</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KRaft</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Kafka's Zookeeper-less consensus mode (single-node deployment supported).</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LSN</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Log Sequence Number — InnoDB redo log marker, used by XtraBackup for incremental delta.</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Manifest (release)</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Signed YAML describing all payloads, hashes, sizes, install order, compatibility.</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mTLS</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Mutual TLS — both client and server present certificates.</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NLDR</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National Level Data Repository — central destination for cooperative-banking data.</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NLPSV</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National-Level PACS Software Vendor — issues releases, signing, governance.</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NFC</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Unicode Normalization Form C — canonical composition; required for filename consistency.</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Outbox</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MySQL table holding events to be published; drained transactionally with business writes.</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Override Token</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Signed JWT (issued by Release CA) authorizing a specific destructive action with TTL and nonce.</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pt-osc</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pt-online-schema-change — Percona tool for non-blocking DDL on large tables via shadow copy.</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pt-table-checksum</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Percona tool for chunk-based row-checksum comparison across MySQL instances.</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pt-table-sync</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Percona tool for repairing data drift detected by pt-table-checksum.</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PACS</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Primary Agricultural Credit Society — local cooperative bank.</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Reconciliation</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Nightly comparison of local outbox checkpoints against NLDR ACKs to detect drift.</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Release CA</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Certificate authority operated by NLPSV; signs releases, manifests, ATA, recovery certs.</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RFC 3161</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Time-stamping protocol for code signatures, ensuring signatures remain valid past cert expiry.</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SAD</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Solution Architecture &amp; Design — this document.</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SBOM</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Software Bill of Materials — CycloneDX JSON listing all components and hashes.</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SLSA</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Supply-chain Levels for Software Artifacts — graduated maturity model for build-pipeline integrity.</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Smoke test</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Post-install API test (create, verify, delete a record + audit verification) confirming end-to-end health.</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State.json</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Durable installer checkpoint file at D:\ePACSData\installer\state.json.</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STRIDE</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Spoofing, Tampering, Repudiation, Information disclosure, Denial of Service, Elevation of privilege — threat-modeling taxonomy.</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Stryker.NET</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.NET mutation testing framework.</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Support bundle</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Diagnostic archive collected for engineering escalation; secret-redacted; signed.</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TPM</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Trusted Platform Module — hardware-backed key storage available on most modern Windows machines.</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Traceability module</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Compliance-grade audit subsystem (erp_traceability database, 11 partitioned tables, ULID PKs, geo-tagged, anomaly rules).</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Trust boundary</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Architectural seam at which authentication or validation must occur (TB-1 through TB-7).</w:t>
            </w:r>
          </w:p>
        </w:tc>
      </w:tr>
      <w:tr>
        <w:trPr>
          <w:tblHeader w:val="false"/>
        </w:trPr>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XtraBackup</w:t>
            </w:r>
          </w:p>
        </w:tc>
        <w:tc>
          <w:tcPr>
            <w:tcW w:type="dxa" w:w="69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Percona OSS physical backup tool — InnoDB page-level incremental, no table locks.</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WiX</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Windows Installer XML toolset; v4 used.</w:t>
            </w:r>
          </w:p>
        </w:tc>
      </w:tr>
    </w:tbl>
    <w:p>
      <w:pPr>
        <w:pStyle w:val="Heading1"/>
        <w:pageBreakBefore/>
        <w:spacing w:after="200" w:before="360"/>
      </w:pPr>
      <w:r>
        <w:rPr>
          <w:b/>
          <w:bCs/>
          <w:color w:val="1A365D"/>
          <w:sz w:val="32"/>
          <w:szCs w:val="32"/>
        </w:rPr>
        <w:t xml:space="preserve">10. References</w:t>
      </w:r>
    </w:p>
    <w:p>
      <w:pPr>
        <w:pStyle w:val="Heading2"/>
        <w:spacing w:after="160" w:before="280"/>
      </w:pPr>
      <w:r>
        <w:rPr>
          <w:b/>
          <w:bCs/>
          <w:color w:val="1A365D"/>
          <w:sz w:val="26"/>
          <w:szCs w:val="26"/>
        </w:rPr>
        <w:t xml:space="preserve">10.1 Internal documents</w:t>
      </w:r>
    </w:p>
    <w:p>
      <w:pPr>
        <w:pStyle w:val="ListParagraph"/>
        <w:numPr>
          <w:ilvl w:val="0"/>
          <w:numId w:val="2"/>
        </w:numPr>
        <w:spacing w:after="60"/>
      </w:pPr>
      <w:r>
        <w:t xml:space="preserve">PACS_ERP_Offline_Installer_BRD — Business Requirements Document (NLPSV).</w:t>
      </w:r>
    </w:p>
    <w:p>
      <w:pPr>
        <w:pStyle w:val="ListParagraph"/>
        <w:numPr>
          <w:ilvl w:val="0"/>
          <w:numId w:val="2"/>
        </w:numPr>
        <w:spacing w:after="60"/>
      </w:pPr>
      <w:r>
        <w:t xml:space="preserve">ePACS_Offline_Installer_Plan v3.2 — Critical Analysis and Enhanced Implementation Plan (92 gaps, 20 sections, 14 appendices).</w:t>
      </w:r>
    </w:p>
    <w:p>
      <w:pPr>
        <w:pStyle w:val="ListParagraph"/>
        <w:numPr>
          <w:ilvl w:val="0"/>
          <w:numId w:val="2"/>
        </w:numPr>
        <w:spacing w:after="60"/>
      </w:pPr>
      <w:r>
        <w:t xml:space="preserve">ePACS_Full_Enterprise_Installer_BRD_and_Technical_Architecture — extended technical architecture.</w:t>
      </w:r>
    </w:p>
    <w:p>
      <w:pPr>
        <w:pStyle w:val="ListParagraph"/>
        <w:numPr>
          <w:ilvl w:val="0"/>
          <w:numId w:val="2"/>
        </w:numPr>
        <w:spacing w:after="60"/>
      </w:pPr>
      <w:r>
        <w:t xml:space="preserve">Updated BRD and deep-research conclusions — discovery and validation.</w:t>
      </w:r>
    </w:p>
    <w:p>
      <w:pPr>
        <w:pStyle w:val="ListParagraph"/>
        <w:numPr>
          <w:ilvl w:val="0"/>
          <w:numId w:val="2"/>
        </w:numPr>
        <w:spacing w:after="60"/>
      </w:pPr>
      <w:r>
        <w:t xml:space="preserve">AP_DDL.sql — schema reference (1,057 tables, 81 FKs, 4,556 LOB columns, mixed charsets).</w:t>
      </w:r>
    </w:p>
    <w:p>
      <w:pPr>
        <w:pStyle w:val="ListParagraph"/>
        <w:numPr>
          <w:ilvl w:val="0"/>
          <w:numId w:val="2"/>
        </w:numPr>
        <w:spacing w:after="60"/>
      </w:pPr>
      <w:r>
        <w:t xml:space="preserve">ADRs 0001 – 0020 under /docs/adr/.</w:t>
      </w:r>
    </w:p>
    <w:p>
      <w:pPr>
        <w:pStyle w:val="Heading2"/>
        <w:spacing w:after="160" w:before="280"/>
      </w:pPr>
      <w:r>
        <w:rPr>
          <w:b/>
          <w:bCs/>
          <w:color w:val="1A365D"/>
          <w:sz w:val="26"/>
          <w:szCs w:val="26"/>
        </w:rPr>
        <w:t xml:space="preserve">10.2 Standards and frameworks</w:t>
      </w:r>
    </w:p>
    <w:p>
      <w:pPr>
        <w:pStyle w:val="ListParagraph"/>
        <w:numPr>
          <w:ilvl w:val="0"/>
          <w:numId w:val="2"/>
        </w:numPr>
        <w:spacing w:after="60"/>
      </w:pPr>
      <w:r>
        <w:t xml:space="preserve">SLSA — Supply-chain Levels for Software Artifacts (https://slsa.dev/).</w:t>
      </w:r>
    </w:p>
    <w:p>
      <w:pPr>
        <w:pStyle w:val="ListParagraph"/>
        <w:numPr>
          <w:ilvl w:val="0"/>
          <w:numId w:val="2"/>
        </w:numPr>
        <w:spacing w:after="60"/>
      </w:pPr>
      <w:r>
        <w:t xml:space="preserve">in-toto — supply-chain attestation framework (https://in-toto.io/).</w:t>
      </w:r>
    </w:p>
    <w:p>
      <w:pPr>
        <w:pStyle w:val="ListParagraph"/>
        <w:numPr>
          <w:ilvl w:val="0"/>
          <w:numId w:val="2"/>
        </w:numPr>
        <w:spacing w:after="60"/>
      </w:pPr>
      <w:r>
        <w:t xml:space="preserve">CycloneDX — SBOM specification (https://cyclonedx.org/).</w:t>
      </w:r>
    </w:p>
    <w:p>
      <w:pPr>
        <w:pStyle w:val="ListParagraph"/>
        <w:numPr>
          <w:ilvl w:val="0"/>
          <w:numId w:val="2"/>
        </w:numPr>
        <w:spacing w:after="60"/>
      </w:pPr>
      <w:r>
        <w:t xml:space="preserve">STRIDE threat-model methodology (Microsoft SDL).</w:t>
      </w:r>
    </w:p>
    <w:p>
      <w:pPr>
        <w:pStyle w:val="ListParagraph"/>
        <w:numPr>
          <w:ilvl w:val="0"/>
          <w:numId w:val="2"/>
        </w:numPr>
        <w:spacing w:after="60"/>
      </w:pPr>
      <w:r>
        <w:t xml:space="preserve">RFC 8785 — JSON Canonicalization Scheme (JCS).</w:t>
      </w:r>
    </w:p>
    <w:p>
      <w:pPr>
        <w:pStyle w:val="ListParagraph"/>
        <w:numPr>
          <w:ilvl w:val="0"/>
          <w:numId w:val="2"/>
        </w:numPr>
        <w:spacing w:after="60"/>
      </w:pPr>
      <w:r>
        <w:t xml:space="preserve">RFC 3161 — Internet X.509 Public Key Infrastructure Time-Stamp Protocol.</w:t>
      </w:r>
    </w:p>
    <w:p>
      <w:pPr>
        <w:pStyle w:val="Heading2"/>
        <w:spacing w:after="160" w:before="280"/>
      </w:pPr>
      <w:r>
        <w:rPr>
          <w:b/>
          <w:bCs/>
          <w:color w:val="1A365D"/>
          <w:sz w:val="26"/>
          <w:szCs w:val="26"/>
        </w:rPr>
        <w:t xml:space="preserve">10.3 Technologies and tools</w:t>
      </w:r>
    </w:p>
    <w:p>
      <w:pPr>
        <w:pStyle w:val="ListParagraph"/>
        <w:numPr>
          <w:ilvl w:val="0"/>
          <w:numId w:val="2"/>
        </w:numPr>
        <w:spacing w:after="60"/>
      </w:pPr>
      <w:r>
        <w:t xml:space="preserve">.NET 8 LTS — https://dotnet.microsoft.com/.</w:t>
      </w:r>
    </w:p>
    <w:p>
      <w:pPr>
        <w:pStyle w:val="ListParagraph"/>
        <w:numPr>
          <w:ilvl w:val="0"/>
          <w:numId w:val="2"/>
        </w:numPr>
        <w:spacing w:after="60"/>
      </w:pPr>
      <w:r>
        <w:t xml:space="preserve">MySQL 8.4 LTS — https://dev.mysql.com/.</w:t>
      </w:r>
    </w:p>
    <w:p>
      <w:pPr>
        <w:pStyle w:val="ListParagraph"/>
        <w:numPr>
          <w:ilvl w:val="0"/>
          <w:numId w:val="2"/>
        </w:numPr>
        <w:spacing w:after="60"/>
      </w:pPr>
      <w:r>
        <w:t xml:space="preserve">Microsoft Garnet — https://github.com/microsoft/garnet.</w:t>
      </w:r>
    </w:p>
    <w:p>
      <w:pPr>
        <w:pStyle w:val="ListParagraph"/>
        <w:numPr>
          <w:ilvl w:val="0"/>
          <w:numId w:val="2"/>
        </w:numPr>
        <w:spacing w:after="60"/>
      </w:pPr>
      <w:r>
        <w:t xml:space="preserve">Apache Kafka 3.7 LTS — https://kafka.apache.org/.</w:t>
      </w:r>
    </w:p>
    <w:p>
      <w:pPr>
        <w:pStyle w:val="ListParagraph"/>
        <w:numPr>
          <w:ilvl w:val="0"/>
          <w:numId w:val="2"/>
        </w:numPr>
        <w:spacing w:after="60"/>
      </w:pPr>
      <w:r>
        <w:t xml:space="preserve">Eclipse Temurin JRE 17 LTS — https://adoptium.net/.</w:t>
      </w:r>
    </w:p>
    <w:p>
      <w:pPr>
        <w:pStyle w:val="ListParagraph"/>
        <w:numPr>
          <w:ilvl w:val="0"/>
          <w:numId w:val="2"/>
        </w:numPr>
        <w:spacing w:after="60"/>
      </w:pPr>
      <w:r>
        <w:t xml:space="preserve">WiX Toolset v4 — https://wixtoolset.org/.</w:t>
      </w:r>
    </w:p>
    <w:p>
      <w:pPr>
        <w:pStyle w:val="ListParagraph"/>
        <w:numPr>
          <w:ilvl w:val="0"/>
          <w:numId w:val="2"/>
        </w:numPr>
        <w:spacing w:after="60"/>
      </w:pPr>
      <w:r>
        <w:t xml:space="preserve">DbUp — https://dbup.readthedocs.io/.</w:t>
      </w:r>
    </w:p>
    <w:p>
      <w:pPr>
        <w:pStyle w:val="ListParagraph"/>
        <w:numPr>
          <w:ilvl w:val="0"/>
          <w:numId w:val="2"/>
        </w:numPr>
        <w:spacing w:after="60"/>
      </w:pPr>
      <w:r>
        <w:t xml:space="preserve">Percona XtraBackup 8.4 — https://www.percona.com/.</w:t>
      </w:r>
    </w:p>
    <w:p>
      <w:pPr>
        <w:pStyle w:val="ListParagraph"/>
        <w:numPr>
          <w:ilvl w:val="0"/>
          <w:numId w:val="2"/>
        </w:numPr>
        <w:spacing w:after="60"/>
      </w:pPr>
      <w:r>
        <w:t xml:space="preserve">Percona Toolkit (pt-online-schema-change, pt-table-checksum, pt-table-sync) — https://www.percona.com/.</w:t>
      </w:r>
    </w:p>
    <w:p>
      <w:pPr>
        <w:pStyle w:val="ListParagraph"/>
        <w:numPr>
          <w:ilvl w:val="0"/>
          <w:numId w:val="2"/>
        </w:numPr>
        <w:spacing w:after="60"/>
      </w:pPr>
      <w:r>
        <w:t xml:space="preserve">Polly — .NET resilience library.</w:t>
      </w:r>
    </w:p>
    <w:p>
      <w:pPr>
        <w:pStyle w:val="ListParagraph"/>
        <w:numPr>
          <w:ilvl w:val="0"/>
          <w:numId w:val="2"/>
        </w:numPr>
        <w:spacing w:after="60"/>
      </w:pPr>
      <w:r>
        <w:t xml:space="preserve">Stryker.NET — .NET mutation testing.</w:t>
      </w:r>
    </w:p>
    <w:p>
      <w:pPr>
        <w:pStyle w:val="ListParagraph"/>
        <w:numPr>
          <w:ilvl w:val="0"/>
          <w:numId w:val="2"/>
        </w:numPr>
        <w:spacing w:after="60"/>
      </w:pPr>
      <w:r>
        <w:t xml:space="preserve">SharpFuzz — .NET fuzz testing.</w:t>
      </w:r>
    </w:p>
    <w:p>
      <w:pPr>
        <w:pStyle w:val="ListParagraph"/>
        <w:numPr>
          <w:ilvl w:val="0"/>
          <w:numId w:val="2"/>
        </w:numPr>
        <w:spacing w:after="60"/>
      </w:pPr>
      <w:r>
        <w:t xml:space="preserve">Pester — PowerShell testing for integration suite.</w:t>
      </w:r>
    </w:p>
    <w:p>
      <w:pPr>
        <w:pStyle w:val="Heading2"/>
        <w:spacing w:after="160" w:before="280"/>
      </w:pPr>
      <w:r>
        <w:rPr>
          <w:b/>
          <w:bCs/>
          <w:color w:val="1A365D"/>
          <w:sz w:val="26"/>
          <w:szCs w:val="26"/>
        </w:rPr>
        <w:t xml:space="preserve">10.4 Plan references (cross-walk)</w:t>
      </w:r>
    </w:p>
    <w:p>
      <w:pPr>
        <w:spacing w:after="120" w:line="280"/>
      </w:pPr>
      <w:r>
        <w:t xml:space="preserve">This document corresponds to the v3.2 plan. Key plan sections referenced: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This SAD</w:t>
            </w:r>
          </w:p>
        </w:tc>
        <w:tc>
          <w:tcPr>
            <w:tcW w:type="dxa" w:w="63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Plan section / appendix</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§4.2 State machine</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§3.4 Installer state machine; Appendix B service recovery</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§4.5 Side-by-side upgrade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§4 Phase 2; §13.1 power-cut resilience</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§4.6 Schema migration</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§12 DDL Drift and Differential Migration; Appendix E DDL classification; Appendix F fingerprint</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§4.7 Backup and restore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§12.4 Data Delta; Appendix G Percona packaging</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§4.8 Sync architecture</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§3.5 Sync data contracts; §13.2 connectivity handling</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§4.9 SLSA &amp; ATA</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§15 Build Provenance &amp; Supply Chain Security; Appendix M compromise runbook</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§5 .NET solution</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§3.3 repository layout</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§5.6.5 STRIDE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§16 Threat Model; Appendix I detailed threat matrix</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§6 Data consistency</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§13.1 power-cut matrix; §6 risks; §12.5 sync delta</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§7 Online ↔ Offline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§13.2 connectivity state machine; G66 outbox backpressure</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§8 Patterns / scenarios</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§5.2 testing strategy; §13 rural resilience; Appendices J/L/N</w:t>
            </w:r>
          </w:p>
        </w:tc>
      </w:tr>
    </w:tbl>
    <w:p>
      <w:pPr>
        <w:pStyle w:val="Heading1"/>
        <w:pageBreakBefore/>
        <w:spacing w:after="200" w:before="360"/>
      </w:pPr>
      <w:r>
        <w:rPr>
          <w:b/>
          <w:bCs/>
          <w:color w:val="1A365D"/>
          <w:sz w:val="32"/>
          <w:szCs w:val="32"/>
        </w:rPr>
        <w:t xml:space="preserve">11. Appendices</w:t>
      </w:r>
    </w:p>
    <w:p>
      <w:pPr>
        <w:pStyle w:val="Heading2"/>
        <w:spacing w:after="160" w:before="280"/>
      </w:pPr>
      <w:r>
        <w:rPr>
          <w:b/>
          <w:bCs/>
          <w:color w:val="1A365D"/>
          <w:sz w:val="26"/>
          <w:szCs w:val="26"/>
        </w:rPr>
        <w:t xml:space="preserve">11.1 Appendix A — Service start order and recovery</w:t>
      </w:r>
    </w:p>
    <w:p>
      <w:pPr>
        <w:spacing w:after="120" w:line="280"/>
      </w:pPr>
      <w:r>
        <w:t xml:space="preserve">Services start in dependency order; stop in reverse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800"/>
        <w:gridCol w:w="4360"/>
      </w:tblGrid>
      <w:tr>
        <w:trPr>
          <w:tblHeader/>
        </w:trPr>
        <w:tc>
          <w:tcPr>
            <w:tcW w:type="dxa" w:w="8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Order</w:t>
            </w:r>
          </w:p>
        </w:tc>
        <w:tc>
          <w:tcPr>
            <w:tcW w:type="dxa" w:w="24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Service</w:t>
            </w:r>
          </w:p>
        </w:tc>
        <w:tc>
          <w:tcPr>
            <w:tcW w:type="dxa" w:w="18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Tech</w:t>
            </w:r>
          </w:p>
        </w:tc>
        <w:tc>
          <w:tcPr>
            <w:tcW w:type="dxa" w:w="43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Recovery (1st / 2nd / subsequent)</w:t>
            </w:r>
          </w:p>
        </w:tc>
      </w:tr>
      <w:tr>
        <w:trPr>
          <w:tblHeader w:val="false"/>
        </w:trPr>
        <w:tc>
          <w:tcPr>
            <w:tcW w:type="dxa" w:w="8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10</w:t>
            </w:r>
          </w:p>
        </w:tc>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ePACSMySQL</w:t>
            </w:r>
          </w:p>
        </w:tc>
        <w:tc>
          <w:tcPr>
            <w:tcW w:type="dxa" w:w="18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MySQL 8.4</w:t>
            </w:r>
          </w:p>
        </w:tc>
        <w:tc>
          <w:tcPr>
            <w:tcW w:type="dxa" w:w="4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60s / 120s / 300s + support bundle</w:t>
            </w:r>
          </w:p>
        </w:tc>
      </w:tr>
      <w:tr>
        <w:trPr>
          <w:tblHeader w:val="false"/>
        </w:trP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20</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ePACSCache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Garnet</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30s / 60s / 120s + support bundle</w:t>
            </w:r>
          </w:p>
        </w:tc>
      </w:tr>
      <w:tr>
        <w:trPr>
          <w:tblHeader w:val="false"/>
        </w:trPr>
        <w:tc>
          <w:tcPr>
            <w:tcW w:type="dxa" w:w="8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30</w:t>
            </w:r>
          </w:p>
        </w:tc>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ePACSEventing</w:t>
            </w:r>
          </w:p>
        </w:tc>
        <w:tc>
          <w:tcPr>
            <w:tcW w:type="dxa" w:w="18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Kafka 3.7</w:t>
            </w:r>
          </w:p>
        </w:tc>
        <w:tc>
          <w:tcPr>
            <w:tcW w:type="dxa" w:w="4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60s / 120s / 300s + support bundle</w:t>
            </w:r>
          </w:p>
        </w:tc>
      </w:tr>
      <w:tr>
        <w:trPr>
          <w:tblHeader w:val="false"/>
        </w:trP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40</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ePACS-Loans, Fas, Mbr, ...</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ASP.NET Core 8</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30s / 60s / 120s + support bundle</w:t>
            </w:r>
          </w:p>
        </w:tc>
      </w:tr>
      <w:tr>
        <w:trPr>
          <w:tblHeader w:val="false"/>
        </w:trPr>
        <w:tc>
          <w:tcPr>
            <w:tcW w:type="dxa" w:w="8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50</w:t>
            </w:r>
          </w:p>
        </w:tc>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ePACSWeb</w:t>
            </w:r>
          </w:p>
        </w:tc>
        <w:tc>
          <w:tcPr>
            <w:tcW w:type="dxa" w:w="18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Kestrel</w:t>
            </w:r>
          </w:p>
        </w:tc>
        <w:tc>
          <w:tcPr>
            <w:tcW w:type="dxa" w:w="4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30s / 60s / 120s + support bundle</w:t>
            </w:r>
          </w:p>
        </w:tc>
      </w:tr>
      <w:tr>
        <w:trPr>
          <w:tblHeader w:val="false"/>
        </w:trP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60</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ePACSSync</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Sync.Agent</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60s / 120s / 300s + support bundle</w:t>
            </w:r>
          </w:p>
        </w:tc>
      </w:tr>
      <w:tr>
        <w:trPr>
          <w:tblHeader w:val="false"/>
        </w:trPr>
        <w:tc>
          <w:tcPr>
            <w:tcW w:type="dxa" w:w="8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70</w:t>
            </w:r>
          </w:p>
        </w:tc>
        <w:tc>
          <w:tcPr>
            <w:tcW w:type="dxa" w:w="24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ePACSInstallerAgent</w:t>
            </w:r>
          </w:p>
        </w:tc>
        <w:tc>
          <w:tcPr>
            <w:tcW w:type="dxa" w:w="18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.NET Worker</w:t>
            </w:r>
          </w:p>
        </w:tc>
        <w:tc>
          <w:tcPr>
            <w:tcW w:type="dxa" w:w="4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10s / 30s / 60s (fastest watchdog)</w:t>
            </w:r>
          </w:p>
        </w:tc>
      </w:tr>
    </w:tbl>
    <w:p>
      <w:pPr>
        <w:pStyle w:val="Heading2"/>
        <w:spacing w:after="160" w:before="280"/>
      </w:pPr>
      <w:r>
        <w:rPr>
          <w:b/>
          <w:bCs/>
          <w:color w:val="1A365D"/>
          <w:sz w:val="26"/>
          <w:szCs w:val="26"/>
        </w:rPr>
        <w:t xml:space="preserve">11.2 Appendix B — Key error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rPr>
          <w:tblHeader/>
        </w:trPr>
        <w:tc>
          <w:tcPr>
            <w:tcW w:type="dxa" w:w="10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Code</w:t>
            </w:r>
          </w:p>
        </w:tc>
        <w:tc>
          <w:tcPr>
            <w:tcW w:type="dxa" w:w="20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Category</w:t>
            </w:r>
          </w:p>
        </w:tc>
        <w:tc>
          <w:tcPr>
            <w:tcW w:type="dxa" w:w="63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Cause / message</w:t>
            </w:r>
          </w:p>
        </w:tc>
      </w:tr>
      <w:tr>
        <w:trPr>
          <w:tblHeader w:val="false"/>
        </w:trPr>
        <w:tc>
          <w:tcPr>
            <w:tcW w:type="dxa" w:w="1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E001</w:t>
            </w:r>
          </w:p>
        </w:tc>
        <w:tc>
          <w:tcPr>
            <w:tcW w:type="dxa" w:w="2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OS</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Windows version &lt; 10.0.17763 — install blocked</w:t>
            </w:r>
          </w:p>
        </w:tc>
      </w:tr>
      <w:tr>
        <w:trPr>
          <w:tblHeader w:val="false"/>
        </w:trP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E007–E009</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Port</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3306 / 6379 / 9092 in use by non-ePACS process — install blocked</w:t>
            </w:r>
          </w:p>
        </w:tc>
      </w:tr>
      <w:tr>
        <w:trPr>
          <w:tblHeader w:val="false"/>
        </w:trPr>
        <w:tc>
          <w:tcPr>
            <w:tcW w:type="dxa" w:w="1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E010</w:t>
            </w:r>
          </w:p>
        </w:tc>
        <w:tc>
          <w:tcPr>
            <w:tcW w:type="dxa" w:w="2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Admin</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Not running as administrator — install blocked</w:t>
            </w:r>
          </w:p>
        </w:tc>
      </w:tr>
      <w:tr>
        <w:trPr>
          <w:tblHeader w:val="false"/>
        </w:trP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E015</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Config</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.epcfg signature invalid — install blocked</w:t>
            </w:r>
          </w:p>
        </w:tc>
      </w:tr>
      <w:tr>
        <w:trPr>
          <w:tblHeader w:val="false"/>
        </w:trPr>
        <w:tc>
          <w:tcPr>
            <w:tcW w:type="dxa" w:w="1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E018</w:t>
            </w:r>
          </w:p>
        </w:tc>
        <w:tc>
          <w:tcPr>
            <w:tcW w:type="dxa" w:w="2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Lock</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Another installer instance running (process mutex) — block</w:t>
            </w:r>
          </w:p>
        </w:tc>
      </w:tr>
      <w:tr>
        <w:trPr>
          <w:tblHeader w:val="false"/>
        </w:trP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E019</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Media</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Payload archive checksum mismatch — install media corrupted</w:t>
            </w:r>
          </w:p>
        </w:tc>
      </w:tr>
      <w:tr>
        <w:trPr>
          <w:tblHeader w:val="false"/>
        </w:trPr>
        <w:tc>
          <w:tcPr>
            <w:tcW w:type="dxa" w:w="1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E020</w:t>
            </w:r>
          </w:p>
        </w:tc>
        <w:tc>
          <w:tcPr>
            <w:tcW w:type="dxa" w:w="2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Upgrade</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MySQL Upgrade Checker found critical issues — block</w:t>
            </w:r>
          </w:p>
        </w:tc>
      </w:tr>
      <w:tr>
        <w:trPr>
          <w:tblHeader w:val="false"/>
        </w:trP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E021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Migration</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Concurrent migration runner detected (advisory lock) — block</w:t>
            </w:r>
          </w:p>
        </w:tc>
      </w:tr>
      <w:tr>
        <w:trPr>
          <w:tblHeader w:val="false"/>
        </w:trPr>
        <w:tc>
          <w:tcPr>
            <w:tcW w:type="dxa" w:w="1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E022</w:t>
            </w:r>
          </w:p>
        </w:tc>
        <w:tc>
          <w:tcPr>
            <w:tcW w:type="dxa" w:w="2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SBOM</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Install-time SBOM cross-check failed — install media tampered</w:t>
            </w:r>
          </w:p>
        </w:tc>
      </w:tr>
      <w:tr>
        <w:trPr>
          <w:tblHeader w:val="false"/>
        </w:trP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E023</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ATA</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Signing-cert thumbprint not in Anti-Tamper Allowlist — block</w:t>
            </w:r>
          </w:p>
        </w:tc>
      </w:tr>
      <w:tr>
        <w:trPr>
          <w:tblHeader w:val="false"/>
        </w:trPr>
        <w:tc>
          <w:tcPr>
            <w:tcW w:type="dxa" w:w="1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E024</w:t>
            </w:r>
          </w:p>
        </w:tc>
        <w:tc>
          <w:tcPr>
            <w:tcW w:type="dxa" w:w="2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Schema</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Breaking schema drift detected before upgrade — block</w:t>
            </w:r>
          </w:p>
        </w:tc>
      </w:tr>
      <w:tr>
        <w:trPr>
          <w:tblHeader w:val="false"/>
        </w:trP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E025</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Backup</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Pre-upgrade backup verification failed — block</w:t>
            </w:r>
          </w:p>
        </w:tc>
      </w:tr>
      <w:tr>
        <w:trPr>
          <w:tblHeader w:val="false"/>
        </w:trPr>
        <w:tc>
          <w:tcPr>
            <w:tcW w:type="dxa" w:w="1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E028</w:t>
            </w:r>
          </w:p>
        </w:tc>
        <w:tc>
          <w:tcPr>
            <w:tcW w:type="dxa" w:w="2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Time</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Clock drift &gt; 5 min; sync blocked</w:t>
            </w:r>
          </w:p>
        </w:tc>
      </w:tr>
      <w:tr>
        <w:trPr>
          <w:tblHeader w:val="false"/>
        </w:trP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E029</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XtraBackup</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Backup target on incompatible filesystem (FAT32/SMB) — block for physical</w:t>
            </w:r>
          </w:p>
        </w:tc>
      </w:tr>
      <w:tr>
        <w:trPr>
          <w:tblHeader w:val="false"/>
        </w:trPr>
        <w:tc>
          <w:tcPr>
            <w:tcW w:type="dxa" w:w="1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E031</w:t>
            </w:r>
          </w:p>
        </w:tc>
        <w:tc>
          <w:tcPr>
            <w:tcW w:type="dxa" w:w="2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Config</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.epcfg nonce already consumed (replay) — block</w:t>
            </w:r>
          </w:p>
        </w:tc>
      </w:tr>
      <w:tr>
        <w:trPr>
          <w:tblHeader w:val="false"/>
        </w:trP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E040–E044</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GPO</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Group policy conflicts — block or warn per policy</w:t>
            </w:r>
          </w:p>
        </w:tc>
      </w:tr>
    </w:tbl>
    <w:p>
      <w:pPr>
        <w:pStyle w:val="Heading2"/>
        <w:spacing w:after="160" w:before="280"/>
      </w:pPr>
      <w:r>
        <w:rPr>
          <w:b/>
          <w:bCs/>
          <w:color w:val="1A365D"/>
          <w:sz w:val="26"/>
          <w:szCs w:val="26"/>
        </w:rPr>
        <w:t xml:space="preserve">11.3 Appendix C —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rPr>
          <w:tblHeader/>
        </w:trPr>
        <w:tc>
          <w:tcPr>
            <w:tcW w:type="dxa" w:w="40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Operation</w:t>
            </w:r>
          </w:p>
        </w:tc>
        <w:tc>
          <w:tcPr>
            <w:tcW w:type="dxa" w:w="268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Small PACS (8 GB)</w:t>
            </w:r>
          </w:p>
        </w:tc>
        <w:tc>
          <w:tcPr>
            <w:tcW w:type="dxa" w:w="268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DCCB Hub (32 GB)</w:t>
            </w:r>
          </w:p>
        </w:tc>
      </w:tr>
      <w:tr>
        <w:trPr>
          <w:tblHeader w:val="false"/>
        </w:trPr>
        <w:tc>
          <w:tcPr>
            <w:tcW w:type="dxa" w:w="4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Fresh install</w:t>
            </w:r>
          </w:p>
        </w:tc>
        <w:tc>
          <w:tcPr>
            <w:tcW w:type="dxa" w:w="268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&lt; 15 min</w:t>
            </w:r>
          </w:p>
        </w:tc>
        <w:tc>
          <w:tcPr>
            <w:tcW w:type="dxa" w:w="268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&lt; 12 min</w:t>
            </w:r>
          </w:p>
        </w:tc>
      </w:tr>
      <w:tr>
        <w:trPr>
          <w:tblHeader w:val="false"/>
        </w:trP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Patch upgrade (binaries only)</w:t>
            </w:r>
          </w:p>
        </w:tc>
        <w:tc>
          <w:tcPr>
            <w:tcW w:type="dxa" w:w="2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&lt; 10 min</w:t>
            </w:r>
          </w:p>
        </w:tc>
        <w:tc>
          <w:tcPr>
            <w:tcW w:type="dxa" w:w="2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&lt; 8 min</w:t>
            </w:r>
          </w:p>
        </w:tc>
      </w:tr>
      <w:tr>
        <w:trPr>
          <w:tblHeader w:val="false"/>
        </w:trPr>
        <w:tc>
          <w:tcPr>
            <w:tcW w:type="dxa" w:w="4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Minor upgrade + 10 GB DB</w:t>
            </w:r>
          </w:p>
        </w:tc>
        <w:tc>
          <w:tcPr>
            <w:tcW w:type="dxa" w:w="268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&lt; 30 min</w:t>
            </w:r>
          </w:p>
        </w:tc>
        <w:tc>
          <w:tcPr>
            <w:tcW w:type="dxa" w:w="268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&lt; 20 min</w:t>
            </w:r>
          </w:p>
        </w:tc>
      </w:tr>
      <w:tr>
        <w:trPr>
          <w:tblHeader w:val="false"/>
        </w:trP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Major upgrade + 10 GB DB</w:t>
            </w:r>
          </w:p>
        </w:tc>
        <w:tc>
          <w:tcPr>
            <w:tcW w:type="dxa" w:w="2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&lt; 45 min</w:t>
            </w:r>
          </w:p>
        </w:tc>
        <w:tc>
          <w:tcPr>
            <w:tcW w:type="dxa" w:w="2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&lt; 30 min</w:t>
            </w:r>
          </w:p>
        </w:tc>
      </w:tr>
      <w:tr>
        <w:trPr>
          <w:tblHeader w:val="false"/>
        </w:trPr>
        <w:tc>
          <w:tcPr>
            <w:tcW w:type="dxa" w:w="4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Major upgrade + 100 GB DB</w:t>
            </w:r>
          </w:p>
        </w:tc>
        <w:tc>
          <w:tcPr>
            <w:tcW w:type="dxa" w:w="268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&lt; 4 hours</w:t>
            </w:r>
          </w:p>
        </w:tc>
        <w:tc>
          <w:tcPr>
            <w:tcW w:type="dxa" w:w="268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&lt; 2 hours</w:t>
            </w:r>
          </w:p>
        </w:tc>
      </w:tr>
      <w:tr>
        <w:trPr>
          <w:tblHeader w:val="false"/>
        </w:trP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Backup 10 GB DB</w:t>
            </w:r>
          </w:p>
        </w:tc>
        <w:tc>
          <w:tcPr>
            <w:tcW w:type="dxa" w:w="2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&lt; 10 min</w:t>
            </w:r>
          </w:p>
        </w:tc>
        <w:tc>
          <w:tcPr>
            <w:tcW w:type="dxa" w:w="2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&lt; 5 min</w:t>
            </w:r>
          </w:p>
        </w:tc>
      </w:tr>
      <w:tr>
        <w:trPr>
          <w:tblHeader w:val="false"/>
        </w:trPr>
        <w:tc>
          <w:tcPr>
            <w:tcW w:type="dxa" w:w="4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Backup 100 GB DB</w:t>
            </w:r>
          </w:p>
        </w:tc>
        <w:tc>
          <w:tcPr>
            <w:tcW w:type="dxa" w:w="268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&lt; 90 min</w:t>
            </w:r>
          </w:p>
        </w:tc>
        <w:tc>
          <w:tcPr>
            <w:tcW w:type="dxa" w:w="268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&lt; 30 min</w:t>
            </w:r>
          </w:p>
        </w:tc>
      </w:tr>
      <w:tr>
        <w:trPr>
          <w:tblHeader w:val="false"/>
        </w:trP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XtraBackup incremental (5 GB delta)</w:t>
            </w:r>
          </w:p>
        </w:tc>
        <w:tc>
          <w:tcPr>
            <w:tcW w:type="dxa" w:w="2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&lt; 5 min</w:t>
            </w:r>
          </w:p>
        </w:tc>
        <w:tc>
          <w:tcPr>
            <w:tcW w:type="dxa" w:w="2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&lt; 2 min</w:t>
            </w:r>
          </w:p>
        </w:tc>
      </w:tr>
      <w:tr>
        <w:trPr>
          <w:tblHeader w:val="false"/>
        </w:trPr>
        <w:tc>
          <w:tcPr>
            <w:tcW w:type="dxa" w:w="4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Restore 10 GB DB</w:t>
            </w:r>
          </w:p>
        </w:tc>
        <w:tc>
          <w:tcPr>
            <w:tcW w:type="dxa" w:w="268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&lt; 15 min</w:t>
            </w:r>
          </w:p>
        </w:tc>
        <w:tc>
          <w:tcPr>
            <w:tcW w:type="dxa" w:w="268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&lt; 10 min</w:t>
            </w:r>
          </w:p>
        </w:tc>
      </w:tr>
      <w:tr>
        <w:trPr>
          <w:tblHeader w:val="false"/>
        </w:trP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Restore 100 GB DB</w:t>
            </w:r>
          </w:p>
        </w:tc>
        <w:tc>
          <w:tcPr>
            <w:tcW w:type="dxa" w:w="2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&lt; 4 hours</w:t>
            </w:r>
          </w:p>
        </w:tc>
        <w:tc>
          <w:tcPr>
            <w:tcW w:type="dxa" w:w="2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&lt; 1.5 hours</w:t>
            </w:r>
          </w:p>
        </w:tc>
      </w:tr>
      <w:tr>
        <w:trPr>
          <w:tblHeader w:val="false"/>
        </w:trPr>
        <w:tc>
          <w:tcPr>
            <w:tcW w:type="dxa" w:w="4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Hotfix apply</w:t>
            </w:r>
          </w:p>
        </w:tc>
        <w:tc>
          <w:tcPr>
            <w:tcW w:type="dxa" w:w="268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&lt; 5 min</w:t>
            </w:r>
          </w:p>
        </w:tc>
        <w:tc>
          <w:tcPr>
            <w:tcW w:type="dxa" w:w="268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&lt; 5 min</w:t>
            </w:r>
          </w:p>
        </w:tc>
      </w:tr>
      <w:tr>
        <w:trPr>
          <w:tblHeader w:val="false"/>
        </w:trP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Sync drain (10K events)</w:t>
            </w:r>
          </w:p>
        </w:tc>
        <w:tc>
          <w:tcPr>
            <w:tcW w:type="dxa" w:w="2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 1,000/min</w:t>
            </w:r>
          </w:p>
        </w:tc>
        <w:tc>
          <w:tcPr>
            <w:tcW w:type="dxa" w:w="2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 3,000/min</w:t>
            </w:r>
          </w:p>
        </w:tc>
      </w:tr>
      <w:tr>
        <w:trPr>
          <w:tblHeader w:val="false"/>
        </w:trPr>
        <w:tc>
          <w:tcPr>
            <w:tcW w:type="dxa" w:w="4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Health probe latency P95</w:t>
            </w:r>
          </w:p>
        </w:tc>
        <w:tc>
          <w:tcPr>
            <w:tcW w:type="dxa" w:w="268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&lt; 500 ms</w:t>
            </w:r>
          </w:p>
        </w:tc>
        <w:tc>
          <w:tcPr>
            <w:tcW w:type="dxa" w:w="268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&lt; 250 ms</w:t>
            </w:r>
          </w:p>
        </w:tc>
      </w:tr>
      <w:tr>
        <w:trPr>
          <w:tblHeader w:val="false"/>
        </w:trP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epacs-ping diagnostic</w:t>
            </w:r>
          </w:p>
        </w:tc>
        <w:tc>
          <w:tcPr>
            <w:tcW w:type="dxa" w:w="2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&lt; 30 sec</w:t>
            </w:r>
          </w:p>
        </w:tc>
        <w:tc>
          <w:tcPr>
            <w:tcW w:type="dxa" w:w="2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&lt; 15 sec</w:t>
            </w:r>
          </w:p>
        </w:tc>
      </w:tr>
      <w:tr>
        <w:trPr>
          <w:tblHeader w:val="false"/>
        </w:trPr>
        <w:tc>
          <w:tcPr>
            <w:tcW w:type="dxa" w:w="4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Support bundle generation</w:t>
            </w:r>
          </w:p>
        </w:tc>
        <w:tc>
          <w:tcPr>
            <w:tcW w:type="dxa" w:w="268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&lt; 2 min</w:t>
            </w:r>
          </w:p>
        </w:tc>
        <w:tc>
          <w:tcPr>
            <w:tcW w:type="dxa" w:w="268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&lt; 90 sec</w:t>
            </w:r>
          </w:p>
        </w:tc>
      </w:tr>
    </w:tbl>
    <w:p>
      <w:pPr>
        <w:pStyle w:val="Heading2"/>
        <w:spacing w:after="160" w:before="280"/>
      </w:pPr>
      <w:r>
        <w:rPr>
          <w:b/>
          <w:bCs/>
          <w:color w:val="1A365D"/>
          <w:sz w:val="26"/>
          <w:szCs w:val="26"/>
        </w:rPr>
        <w:t xml:space="preserve">11.4 Appendix D — Repository layout</w:t>
      </w:r>
    </w:p>
    <w:p>
      <w:pPr>
        <w:spacing w:after="120" w:line="280"/>
      </w:pPr>
      <w:r>
        <w:t xml:space="preserve">Selected projects (full layout in plan §3.3):</w:t>
      </w:r>
    </w:p>
    <w:p>
      <w:pPr>
        <w:shd w:fill="F5F5F5" w:val="clear"/>
        <w:spacing w:after="0"/>
        <w:ind w:left="200"/>
      </w:pPr>
      <w:r>
        <w:rPr>
          <w:rFonts w:ascii="Consolas" w:cs="Consolas" w:eastAsia="Consolas" w:hAnsi="Consolas"/>
          <w:sz w:val="18"/>
          <w:szCs w:val="18"/>
        </w:rPr>
        <w:t xml:space="preserve">/src</w:t>
      </w:r>
    </w:p>
    <w:p>
      <w:pPr>
        <w:shd w:fill="F5F5F5" w:val="clear"/>
        <w:spacing w:after="0"/>
        <w:ind w:left="200"/>
      </w:pPr>
      <w:r>
        <w:rPr>
          <w:rFonts w:ascii="Consolas" w:cs="Consolas" w:eastAsia="Consolas" w:hAnsi="Consolas"/>
          <w:sz w:val="18"/>
          <w:szCs w:val="18"/>
        </w:rPr>
        <w:t xml:space="preserve">  /Installer.BootstrapperApp     # WiX Burn Managed BA + WPF UI</w:t>
      </w:r>
    </w:p>
    <w:p>
      <w:pPr>
        <w:shd w:fill="F5F5F5" w:val="clear"/>
        <w:spacing w:after="0"/>
        <w:ind w:left="200"/>
      </w:pPr>
      <w:r>
        <w:rPr>
          <w:rFonts w:ascii="Consolas" w:cs="Consolas" w:eastAsia="Consolas" w:hAnsi="Consolas"/>
          <w:sz w:val="18"/>
          <w:szCs w:val="18"/>
        </w:rPr>
        <w:t xml:space="preserve">  /Installer.Core                # state machine, schema fingerprint, upgrade engine</w:t>
      </w:r>
    </w:p>
    <w:p>
      <w:pPr>
        <w:shd w:fill="F5F5F5" w:val="clear"/>
        <w:spacing w:after="0"/>
        <w:ind w:left="200"/>
      </w:pPr>
      <w:r>
        <w:rPr>
          <w:rFonts w:ascii="Consolas" w:cs="Consolas" w:eastAsia="Consolas" w:hAnsi="Consolas"/>
          <w:sz w:val="18"/>
          <w:szCs w:val="18"/>
        </w:rPr>
        <w:t xml:space="preserve">  /Installer.Core.SchemaMigration# DbUp runner, DDL classifier, pt-osc wrapper</w:t>
      </w:r>
    </w:p>
    <w:p>
      <w:pPr>
        <w:shd w:fill="F5F5F5" w:val="clear"/>
        <w:spacing w:after="0"/>
        <w:ind w:left="200"/>
      </w:pPr>
      <w:r>
        <w:rPr>
          <w:rFonts w:ascii="Consolas" w:cs="Consolas" w:eastAsia="Consolas" w:hAnsi="Consolas"/>
          <w:sz w:val="18"/>
          <w:szCs w:val="18"/>
        </w:rPr>
        <w:t xml:space="preserve">  /Installer.Actions             # prechecks, install, service orchestration</w:t>
      </w:r>
    </w:p>
    <w:p>
      <w:pPr>
        <w:shd w:fill="F5F5F5" w:val="clear"/>
        <w:spacing w:after="0"/>
        <w:ind w:left="200"/>
      </w:pPr>
      <w:r>
        <w:rPr>
          <w:rFonts w:ascii="Consolas" w:cs="Consolas" w:eastAsia="Consolas" w:hAnsi="Consolas"/>
          <w:sz w:val="18"/>
          <w:szCs w:val="18"/>
        </w:rPr>
        <w:t xml:space="preserve">  /Installer.Actions.Uninstall   # uninstall with Override Token</w:t>
      </w:r>
    </w:p>
    <w:p>
      <w:pPr>
        <w:shd w:fill="F5F5F5" w:val="clear"/>
        <w:spacing w:after="0"/>
        <w:ind w:left="200"/>
      </w:pPr>
      <w:r>
        <w:rPr>
          <w:rFonts w:ascii="Consolas" w:cs="Consolas" w:eastAsia="Consolas" w:hAnsi="Consolas"/>
          <w:sz w:val="18"/>
          <w:szCs w:val="18"/>
        </w:rPr>
        <w:t xml:space="preserve">  /Installer.Actions.Repair      # repair mode</w:t>
      </w:r>
    </w:p>
    <w:p>
      <w:pPr>
        <w:shd w:fill="F5F5F5" w:val="clear"/>
        <w:spacing w:after="0"/>
        <w:ind w:left="200"/>
      </w:pPr>
      <w:r>
        <w:rPr>
          <w:rFonts w:ascii="Consolas" w:cs="Consolas" w:eastAsia="Consolas" w:hAnsi="Consolas"/>
          <w:sz w:val="18"/>
          <w:szCs w:val="18"/>
        </w:rPr>
        <w:t xml:space="preserve">  /Installer.Actions.Hotfix      # emergency hotfix</w:t>
      </w:r>
    </w:p>
    <w:p>
      <w:pPr>
        <w:shd w:fill="F5F5F5" w:val="clear"/>
        <w:spacing w:after="0"/>
        <w:ind w:left="200"/>
      </w:pPr>
      <w:r>
        <w:rPr>
          <w:rFonts w:ascii="Consolas" w:cs="Consolas" w:eastAsia="Consolas" w:hAnsi="Consolas"/>
          <w:sz w:val="18"/>
          <w:szCs w:val="18"/>
        </w:rPr>
        <w:t xml:space="preserve">  /Installer.Actions.SelfUpdate  # G64 installer-only patches</w:t>
      </w:r>
    </w:p>
    <w:p>
      <w:pPr>
        <w:shd w:fill="F5F5F5" w:val="clear"/>
        <w:spacing w:after="0"/>
        <w:ind w:left="200"/>
      </w:pPr>
      <w:r>
        <w:rPr>
          <w:rFonts w:ascii="Consolas" w:cs="Consolas" w:eastAsia="Consolas" w:hAnsi="Consolas"/>
          <w:sz w:val="18"/>
          <w:szCs w:val="18"/>
        </w:rPr>
        <w:t xml:space="preserve">  /Installer.UI                  # WPF i18n</w:t>
      </w:r>
    </w:p>
    <w:p>
      <w:pPr>
        <w:shd w:fill="F5F5F5" w:val="clear"/>
        <w:spacing w:after="0"/>
        <w:ind w:left="200"/>
      </w:pPr>
      <w:r>
        <w:rPr>
          <w:rFonts w:ascii="Consolas" w:cs="Consolas" w:eastAsia="Consolas" w:hAnsi="Consolas"/>
          <w:sz w:val="18"/>
          <w:szCs w:val="18"/>
        </w:rPr>
        <w:t xml:space="preserve">  /Installer.CLI                 # silent mode</w:t>
      </w:r>
    </w:p>
    <w:p>
      <w:pPr>
        <w:shd w:fill="F5F5F5" w:val="clear"/>
        <w:spacing w:after="0"/>
        <w:ind w:left="200"/>
      </w:pPr>
      <w:r>
        <w:rPr>
          <w:rFonts w:ascii="Consolas" w:cs="Consolas" w:eastAsia="Consolas" w:hAnsi="Consolas"/>
          <w:sz w:val="18"/>
          <w:szCs w:val="18"/>
        </w:rPr>
        <w:t xml:space="preserve">  /Installer.Agent               # ePACSInstallerAgent service</w:t>
      </w:r>
    </w:p>
    <w:p>
      <w:pPr>
        <w:shd w:fill="F5F5F5" w:val="clear"/>
        <w:spacing w:after="0"/>
        <w:ind w:left="200"/>
      </w:pPr>
      <w:r>
        <w:rPr>
          <w:rFonts w:ascii="Consolas" w:cs="Consolas" w:eastAsia="Consolas" w:hAnsi="Consolas"/>
          <w:sz w:val="18"/>
          <w:szCs w:val="18"/>
        </w:rPr>
        <w:t xml:space="preserve">  /Installer.Agent.* (Monitors, FileSync, Heartbeat, Scheduler, FleetManifest, AOFGuard)</w:t>
      </w:r>
    </w:p>
    <w:p>
      <w:pPr>
        <w:shd w:fill="F5F5F5" w:val="clear"/>
        <w:spacing w:after="0"/>
        <w:ind w:left="200"/>
      </w:pPr>
      <w:r>
        <w:rPr>
          <w:rFonts w:ascii="Consolas" w:cs="Consolas" w:eastAsia="Consolas" w:hAnsi="Consolas"/>
          <w:sz w:val="18"/>
          <w:szCs w:val="18"/>
        </w:rPr>
        <w:t xml:space="preserve">  /Installer.Diagnostics.Ping    # epacs-ping.exe</w:t>
      </w:r>
    </w:p>
    <w:p>
      <w:pPr>
        <w:shd w:fill="F5F5F5" w:val="clear"/>
        <w:spacing w:after="0"/>
        <w:ind w:left="200"/>
      </w:pPr>
      <w:r>
        <w:rPr>
          <w:rFonts w:ascii="Consolas" w:cs="Consolas" w:eastAsia="Consolas" w:hAnsi="Consolas"/>
          <w:sz w:val="18"/>
          <w:szCs w:val="18"/>
        </w:rPr>
        <w:t xml:space="preserve">  /Installer.Security.* (ATA, RootCA, ServiceAuth, SBOMCheck, Locale, GPOCheck, Time)</w:t>
      </w:r>
    </w:p>
    <w:p>
      <w:pPr>
        <w:shd w:fill="F5F5F5" w:val="clear"/>
        <w:spacing w:after="0"/>
        <w:ind w:left="200"/>
      </w:pPr>
      <w:r>
        <w:rPr>
          <w:rFonts w:ascii="Consolas" w:cs="Consolas" w:eastAsia="Consolas" w:hAnsi="Consolas"/>
          <w:sz w:val="18"/>
          <w:szCs w:val="18"/>
        </w:rPr>
        <w:t xml:space="preserve">  /Installer.Provenance          # in-toto verifier</w:t>
      </w:r>
    </w:p>
    <w:p>
      <w:pPr>
        <w:shd w:fill="F5F5F5" w:val="clear"/>
        <w:spacing w:after="0"/>
        <w:ind w:left="200"/>
      </w:pPr>
      <w:r>
        <w:rPr>
          <w:rFonts w:ascii="Consolas" w:cs="Consolas" w:eastAsia="Consolas" w:hAnsi="Consolas"/>
          <w:sz w:val="18"/>
          <w:szCs w:val="18"/>
        </w:rPr>
        <w:t xml:space="preserve">  /BackupRestore                 # backup/restore + XtraBackup + Chain + Retention + CrossProfile</w:t>
      </w:r>
    </w:p>
    <w:p>
      <w:pPr>
        <w:shd w:fill="F5F5F5" w:val="clear"/>
        <w:spacing w:after="0"/>
        <w:ind w:left="200"/>
      </w:pPr>
      <w:r>
        <w:rPr>
          <w:rFonts w:ascii="Consolas" w:cs="Consolas" w:eastAsia="Consolas" w:hAnsi="Consolas"/>
          <w:sz w:val="18"/>
          <w:szCs w:val="18"/>
        </w:rPr>
        <w:t xml:space="preserve">  /ManifestVerifier              # parser, hash, signature, SBOM, ATA</w:t>
      </w:r>
    </w:p>
    <w:p>
      <w:pPr>
        <w:shd w:fill="F5F5F5" w:val="clear"/>
        <w:spacing w:after="0"/>
        <w:ind w:left="200"/>
      </w:pPr>
      <w:r>
        <w:rPr>
          <w:rFonts w:ascii="Consolas" w:cs="Consolas" w:eastAsia="Consolas" w:hAnsi="Consolas"/>
          <w:sz w:val="18"/>
          <w:szCs w:val="18"/>
        </w:rPr>
        <w:t xml:space="preserve">  /SupportBundle                 # collector with redaction</w:t>
      </w:r>
    </w:p>
    <w:p>
      <w:pPr>
        <w:shd w:fill="F5F5F5" w:val="clear"/>
        <w:spacing w:after="0"/>
        <w:ind w:left="200"/>
      </w:pPr>
      <w:r>
        <w:rPr>
          <w:rFonts w:ascii="Consolas" w:cs="Consolas" w:eastAsia="Consolas" w:hAnsi="Consolas"/>
          <w:sz w:val="18"/>
          <w:szCs w:val="18"/>
        </w:rPr>
        <w:t xml:space="preserve">  /Sync.Abstractions             # ISyncTransport, SyncEvent, Ack</w:t>
      </w:r>
    </w:p>
    <w:p>
      <w:pPr>
        <w:shd w:fill="F5F5F5" w:val="clear"/>
        <w:spacing w:after="0"/>
        <w:ind w:left="200"/>
      </w:pPr>
      <w:r>
        <w:rPr>
          <w:rFonts w:ascii="Consolas" w:cs="Consolas" w:eastAsia="Consolas" w:hAnsi="Consolas"/>
          <w:sz w:val="18"/>
          <w:szCs w:val="18"/>
        </w:rPr>
        <w:t xml:space="preserve">  /Sync.Agent                    # outbox, inbox, connectivity, reconciliation</w:t>
      </w:r>
    </w:p>
    <w:p>
      <w:pPr>
        <w:shd w:fill="F5F5F5" w:val="clear"/>
        <w:spacing w:after="0"/>
        <w:ind w:left="200"/>
      </w:pPr>
      <w:r>
        <w:rPr>
          <w:rFonts w:ascii="Consolas" w:cs="Consolas" w:eastAsia="Consolas" w:hAnsi="Consolas"/>
          <w:sz w:val="18"/>
          <w:szCs w:val="18"/>
        </w:rPr>
        <w:t xml:space="preserve">  /Sync.Agent.Backpressure       # outbox ceilings + overflow</w:t>
      </w:r>
    </w:p>
    <w:p>
      <w:pPr>
        <w:shd w:fill="F5F5F5" w:val="clear"/>
        <w:spacing w:after="0"/>
        <w:ind w:left="200"/>
      </w:pPr>
      <w:r>
        <w:rPr>
          <w:rFonts w:ascii="Consolas" w:cs="Consolas" w:eastAsia="Consolas" w:hAnsi="Consolas"/>
          <w:sz w:val="18"/>
          <w:szCs w:val="18"/>
        </w:rPr>
        <w:t xml:space="preserve">  /Sync.Agent.ConflictUI         # operator conflict-resolution backend</w:t>
      </w:r>
    </w:p>
    <w:p>
      <w:pPr>
        <w:shd w:fill="F5F5F5" w:val="clear"/>
        <w:spacing w:after="0"/>
        <w:ind w:left="200"/>
      </w:pPr>
      <w:r>
        <w:rPr>
          <w:rFonts w:ascii="Consolas" w:cs="Consolas" w:eastAsia="Consolas" w:hAnsi="Consolas"/>
          <w:sz w:val="18"/>
          <w:szCs w:val="18"/>
        </w:rPr>
        <w:t xml:space="preserve">  /Sync.Transport.Http           # NLDR HTTP transport</w:t>
      </w:r>
    </w:p>
    <w:p>
      <w:pPr>
        <w:shd w:fill="F5F5F5" w:val="clear"/>
        <w:spacing w:after="0"/>
        <w:ind w:left="200"/>
      </w:pPr>
      <w:r>
        <w:rPr>
          <w:rFonts w:ascii="Consolas" w:cs="Consolas" w:eastAsia="Consolas" w:hAnsi="Consolas"/>
          <w:sz w:val="18"/>
          <w:szCs w:val="18"/>
        </w:rPr>
        <w:t xml:space="preserve">  /Outbox.Relay                  # MySQL → Kafka relay</w:t>
      </w:r>
    </w:p>
    <w:p>
      <w:pPr>
        <w:shd w:fill="F5F5F5" w:val="clear"/>
        <w:spacing w:after="0"/>
        <w:ind w:left="200"/>
      </w:pPr>
      <w:r>
        <w:rPr>
          <w:rFonts w:ascii="Consolas" w:cs="Consolas" w:eastAsia="Consolas" w:hAnsi="Consolas"/>
          <w:sz w:val="18"/>
          <w:szCs w:val="18"/>
        </w:rPr>
        <w:t xml:space="preserve">  /SharedKernel                  # contracts, configuration, security, errors</w:t>
      </w:r>
    </w:p>
    <w:p>
      <w:pPr>
        <w:shd w:fill="F5F5F5" w:val="clear"/>
        <w:spacing w:after="0"/>
        <w:ind w:left="200"/>
      </w:pPr>
      <w:r>
        <w:rPr>
          <w:rFonts w:ascii="Consolas" w:cs="Consolas" w:eastAsia="Consolas" w:hAnsi="Consolas"/>
          <w:sz w:val="18"/>
          <w:szCs w:val="18"/>
        </w:rPr>
        <w:t xml:space="preserve">/services</w:t>
      </w:r>
    </w:p>
    <w:p>
      <w:pPr>
        <w:shd w:fill="F5F5F5" w:val="clear"/>
        <w:spacing w:after="0"/>
        <w:ind w:left="200"/>
      </w:pPr>
      <w:r>
        <w:rPr>
          <w:rFonts w:ascii="Consolas" w:cs="Consolas" w:eastAsia="Consolas" w:hAnsi="Consolas"/>
          <w:sz w:val="18"/>
          <w:szCs w:val="18"/>
        </w:rPr>
        <w:t xml:space="preserve">  /ePacs.Web                     # Kestrel host + dashboard</w:t>
      </w:r>
    </w:p>
    <w:p>
      <w:pPr>
        <w:shd w:fill="F5F5F5" w:val="clear"/>
        <w:spacing w:after="0"/>
        <w:ind w:left="200"/>
      </w:pPr>
      <w:r>
        <w:rPr>
          <w:rFonts w:ascii="Consolas" w:cs="Consolas" w:eastAsia="Consolas" w:hAnsi="Consolas"/>
          <w:sz w:val="18"/>
          <w:szCs w:val="18"/>
        </w:rPr>
        <w:t xml:space="preserve">  /ePacs.Loans /ePacs.Fas /ePacs.Membership /...</w:t>
      </w:r>
    </w:p>
    <w:p>
      <w:pPr>
        <w:shd w:fill="F5F5F5" w:val="clear"/>
        <w:spacing w:after="0"/>
        <w:ind w:left="200"/>
      </w:pPr>
      <w:r>
        <w:rPr>
          <w:rFonts w:ascii="Consolas" w:cs="Consolas" w:eastAsia="Consolas" w:hAnsi="Consolas"/>
          <w:sz w:val="18"/>
          <w:szCs w:val="18"/>
        </w:rPr>
        <w:t xml:space="preserve">/migrations</w:t>
      </w:r>
    </w:p>
    <w:p>
      <w:pPr>
        <w:shd w:fill="F5F5F5" w:val="clear"/>
        <w:spacing w:after="0"/>
        <w:ind w:left="200"/>
      </w:pPr>
      <w:r>
        <w:rPr>
          <w:rFonts w:ascii="Consolas" w:cs="Consolas" w:eastAsia="Consolas" w:hAnsi="Consolas"/>
          <w:sz w:val="18"/>
          <w:szCs w:val="18"/>
        </w:rPr>
        <w:t xml:space="preserve">  /V###__*.sql                   # versioned migrations with classification headers</w:t>
      </w:r>
    </w:p>
    <w:p>
      <w:pPr>
        <w:shd w:fill="F5F5F5" w:val="clear"/>
        <w:spacing w:after="0"/>
        <w:ind w:left="200"/>
      </w:pPr>
      <w:r>
        <w:rPr>
          <w:rFonts w:ascii="Consolas" w:cs="Consolas" w:eastAsia="Consolas" w:hAnsi="Consolas"/>
          <w:sz w:val="18"/>
          <w:szCs w:val="18"/>
        </w:rPr>
        <w:t xml:space="preserve">  /R__*.sql                      # repeatable (views, procs)</w:t>
      </w:r>
    </w:p>
    <w:p>
      <w:pPr>
        <w:shd w:fill="F5F5F5" w:val="clear"/>
        <w:spacing w:after="0"/>
        <w:ind w:left="200"/>
      </w:pPr>
      <w:r>
        <w:rPr>
          <w:rFonts w:ascii="Consolas" w:cs="Consolas" w:eastAsia="Consolas" w:hAnsi="Consolas"/>
          <w:sz w:val="18"/>
          <w:szCs w:val="18"/>
        </w:rPr>
        <w:t xml:space="preserve">  /pre-checks/                   # MySQL Upgrade Checker scripts</w:t>
      </w:r>
    </w:p>
    <w:p>
      <w:pPr>
        <w:shd w:fill="F5F5F5" w:val="clear"/>
        <w:spacing w:after="0"/>
        <w:ind w:left="200"/>
      </w:pPr>
      <w:r>
        <w:rPr>
          <w:rFonts w:ascii="Consolas" w:cs="Consolas" w:eastAsia="Consolas" w:hAnsi="Consolas"/>
          <w:sz w:val="18"/>
          <w:szCs w:val="18"/>
        </w:rPr>
        <w:t xml:space="preserve">  /charset-remediation/          # utf8mb3→utf8mb4 conversion</w:t>
      </w:r>
    </w:p>
    <w:p>
      <w:pPr>
        <w:shd w:fill="F5F5F5" w:val="clear"/>
        <w:spacing w:after="0"/>
        <w:ind w:left="200"/>
      </w:pPr>
      <w:r>
        <w:rPr>
          <w:rFonts w:ascii="Consolas" w:cs="Consolas" w:eastAsia="Consolas" w:hAnsi="Consolas"/>
          <w:sz w:val="18"/>
          <w:szCs w:val="18"/>
        </w:rPr>
        <w:t xml:space="preserve">  /schema-baselines/             # expected fingerprints per version</w:t>
      </w:r>
    </w:p>
    <w:p>
      <w:pPr>
        <w:shd w:fill="F5F5F5" w:val="clear"/>
        <w:spacing w:after="0"/>
        <w:ind w:left="200"/>
      </w:pPr>
      <w:r>
        <w:rPr>
          <w:rFonts w:ascii="Consolas" w:cs="Consolas" w:eastAsia="Consolas" w:hAnsi="Consolas"/>
          <w:sz w:val="18"/>
          <w:szCs w:val="18"/>
        </w:rPr>
        <w:t xml:space="preserve">/tests</w:t>
      </w:r>
    </w:p>
    <w:p>
      <w:pPr>
        <w:shd w:fill="F5F5F5" w:val="clear"/>
        <w:spacing w:after="0"/>
        <w:ind w:left="200"/>
      </w:pPr>
      <w:r>
        <w:rPr>
          <w:rFonts w:ascii="Consolas" w:cs="Consolas" w:eastAsia="Consolas" w:hAnsi="Consolas"/>
          <w:sz w:val="18"/>
          <w:szCs w:val="18"/>
        </w:rPr>
        <w:t xml:space="preserve">  /Installer.UnitTests, IntegrationTests, ChaosTests, MutationTests, FuzzTests,</w:t>
      </w:r>
    </w:p>
    <w:p>
      <w:pPr>
        <w:shd w:fill="F5F5F5" w:val="clear"/>
        <w:spacing w:after="0"/>
        <w:ind w:left="200"/>
      </w:pPr>
      <w:r>
        <w:rPr>
          <w:rFonts w:ascii="Consolas" w:cs="Consolas" w:eastAsia="Consolas" w:hAnsi="Consolas"/>
          <w:sz w:val="18"/>
          <w:szCs w:val="18"/>
        </w:rPr>
        <w:t xml:space="preserve">  IdempotencyTests, ConcurrencyTests, LocaleTests, TimeSkipTests, GPOTests,</w:t>
      </w:r>
    </w:p>
    <w:p>
      <w:pPr>
        <w:shd w:fill="F5F5F5" w:val="clear"/>
        <w:spacing w:after="0"/>
        <w:ind w:left="200"/>
      </w:pPr>
      <w:r>
        <w:rPr>
          <w:rFonts w:ascii="Consolas" w:cs="Consolas" w:eastAsia="Consolas" w:hAnsi="Consolas"/>
          <w:sz w:val="18"/>
          <w:szCs w:val="18"/>
        </w:rPr>
        <w:t xml:space="preserve">  SkipVersionTests, CrossProfileTests, SBOMTests, ReproducibleBuildTests</w:t>
      </w:r>
    </w:p>
    <w:p>
      <w:pPr>
        <w:shd w:fill="F5F5F5" w:val="clear"/>
        <w:spacing w:after="0"/>
        <w:ind w:left="200"/>
      </w:pPr>
      <w:r>
        <w:rPr>
          <w:rFonts w:ascii="Consolas" w:cs="Consolas" w:eastAsia="Consolas" w:hAnsi="Consolas"/>
          <w:sz w:val="18"/>
          <w:szCs w:val="18"/>
        </w:rPr>
        <w:t xml:space="preserve">  /Sync.ContractTests, IntegrationTests, BackpressureTests</w:t>
      </w:r>
    </w:p>
    <w:p>
      <w:pPr>
        <w:shd w:fill="F5F5F5" w:val="clear"/>
        <w:spacing w:after="0"/>
        <w:ind w:left="200"/>
      </w:pPr>
      <w:r>
        <w:rPr>
          <w:rFonts w:ascii="Consolas" w:cs="Consolas" w:eastAsia="Consolas" w:hAnsi="Consolas"/>
          <w:sz w:val="18"/>
          <w:szCs w:val="18"/>
        </w:rPr>
        <w:t xml:space="preserve">  /BackupRestore.Tests, ChainTests</w:t>
      </w:r>
    </w:p>
    <w:p>
      <w:pPr>
        <w:shd w:fill="F5F5F5" w:val="clear"/>
        <w:spacing w:after="0"/>
        <w:ind w:left="200"/>
      </w:pPr>
      <w:r>
        <w:rPr>
          <w:rFonts w:ascii="Consolas" w:cs="Consolas" w:eastAsia="Consolas" w:hAnsi="Consolas"/>
          <w:sz w:val="18"/>
          <w:szCs w:val="18"/>
        </w:rPr>
        <w:t xml:space="preserve">  /SmokeTests, TamperTests</w:t>
      </w:r>
    </w:p>
    <w:p>
      <w:pPr>
        <w:pStyle w:val="Heading2"/>
        <w:spacing w:after="160" w:before="280"/>
      </w:pPr>
      <w:r>
        <w:rPr>
          <w:b/>
          <w:bCs/>
          <w:color w:val="1A365D"/>
          <w:sz w:val="26"/>
          <w:szCs w:val="26"/>
        </w:rPr>
        <w:t xml:space="preserve">11.5 Appendix E — Acceptance criteria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360"/>
        <w:gridCol w:w="4000"/>
      </w:tblGrid>
      <w:tr>
        <w:trPr>
          <w:tblHeader/>
        </w:trPr>
        <w:tc>
          <w:tcPr>
            <w:tcW w:type="dxa" w:w="10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AC</w:t>
            </w:r>
          </w:p>
        </w:tc>
        <w:tc>
          <w:tcPr>
            <w:tcW w:type="dxa" w:w="43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Description</w:t>
            </w:r>
          </w:p>
        </w:tc>
        <w:tc>
          <w:tcPr>
            <w:tcW w:type="dxa" w:w="40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Where covered</w:t>
            </w:r>
          </w:p>
        </w:tc>
      </w:tr>
      <w:tr>
        <w:trPr>
          <w:tblHeader w:val="false"/>
        </w:trPr>
        <w:tc>
          <w:tcPr>
            <w:tcW w:type="dxa" w:w="1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AC-001</w:t>
            </w:r>
          </w:p>
        </w:tc>
        <w:tc>
          <w:tcPr>
            <w:tcW w:type="dxa" w:w="4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Clean offline install</w:t>
            </w:r>
          </w:p>
        </w:tc>
        <w:tc>
          <w:tcPr>
            <w:tcW w:type="dxa" w:w="4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§3.2 INSTALL mode; §4.2 state machine</w:t>
            </w:r>
          </w:p>
        </w:tc>
      </w:tr>
      <w:tr>
        <w:trPr>
          <w:tblHeader w:val="false"/>
        </w:trP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AC-002</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Refuse unsigned/tampered</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§4.9 SLSA + ATA; §5.6.2</w:t>
            </w:r>
          </w:p>
        </w:tc>
      </w:tr>
      <w:tr>
        <w:trPr>
          <w:tblHeader w:val="false"/>
        </w:trPr>
        <w:tc>
          <w:tcPr>
            <w:tcW w:type="dxa" w:w="1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AC-003</w:t>
            </w:r>
          </w:p>
        </w:tc>
        <w:tc>
          <w:tcPr>
            <w:tcW w:type="dxa" w:w="4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Data root + correct ACLs</w:t>
            </w:r>
          </w:p>
        </w:tc>
        <w:tc>
          <w:tcPr>
            <w:tcW w:type="dxa" w:w="4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§3.3 IAclEngine; SharedKernel.Security</w:t>
            </w:r>
          </w:p>
        </w:tc>
      </w:tr>
      <w:tr>
        <w:trPr>
          <w:tblHeader w:val="false"/>
        </w:trP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AC-004</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Health endpoints report versions</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§5.5 observability</w:t>
            </w:r>
          </w:p>
        </w:tc>
      </w:tr>
      <w:tr>
        <w:trPr>
          <w:tblHeader w:val="false"/>
        </w:trPr>
        <w:tc>
          <w:tcPr>
            <w:tcW w:type="dxa" w:w="1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AC-005</w:t>
            </w:r>
          </w:p>
        </w:tc>
        <w:tc>
          <w:tcPr>
            <w:tcW w:type="dxa" w:w="4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Verified backup before upgrade</w:t>
            </w:r>
          </w:p>
        </w:tc>
        <w:tc>
          <w:tcPr>
            <w:tcW w:type="dxa" w:w="4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§4.5; §4.7 backup chain</w:t>
            </w:r>
          </w:p>
        </w:tc>
      </w:tr>
      <w:tr>
        <w:trPr>
          <w:tblHeader w:val="false"/>
        </w:trP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AC-006</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Upgrade failure → rollback + bundle</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§4.5 rollback paths; §4.2 state machine fail branch</w:t>
            </w:r>
          </w:p>
        </w:tc>
      </w:tr>
      <w:tr>
        <w:trPr>
          <w:tblHeader w:val="false"/>
        </w:trPr>
        <w:tc>
          <w:tcPr>
            <w:tcW w:type="dxa" w:w="1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AC-007</w:t>
            </w:r>
          </w:p>
        </w:tc>
        <w:tc>
          <w:tcPr>
            <w:tcW w:type="dxa" w:w="4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Uninstall preserves data by default</w:t>
            </w:r>
          </w:p>
        </w:tc>
        <w:tc>
          <w:tcPr>
            <w:tcW w:type="dxa" w:w="4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§3.2 UNINSTALL mode; Override Token for purge</w:t>
            </w:r>
          </w:p>
        </w:tc>
      </w:tr>
      <w:tr>
        <w:trPr>
          <w:tblHeader w:val="false"/>
        </w:trP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AC-008</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Restore from encrypted backup</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§4.7; §6.4 tamper-evidence</w:t>
            </w:r>
          </w:p>
        </w:tc>
      </w:tr>
      <w:tr>
        <w:trPr>
          <w:tblHeader w:val="false"/>
        </w:trPr>
        <w:tc>
          <w:tcPr>
            <w:tcW w:type="dxa" w:w="1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AC-009</w:t>
            </w:r>
          </w:p>
        </w:tc>
        <w:tc>
          <w:tcPr>
            <w:tcW w:type="dxa" w:w="4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Local txns while NLDR unreachable</w:t>
            </w:r>
          </w:p>
        </w:tc>
        <w:tc>
          <w:tcPr>
            <w:tcW w:type="dxa" w:w="4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§7.2 what works offline</w:t>
            </w:r>
          </w:p>
        </w:tc>
      </w:tr>
      <w:tr>
        <w:trPr>
          <w:tblHeader w:val="false"/>
        </w:trP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AC-010</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Sync without duplicates after reconnect</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§6.3.1 idempotency; §7.5 recovery sequence</w:t>
            </w:r>
          </w:p>
        </w:tc>
      </w:tr>
      <w:tr>
        <w:trPr>
          <w:tblHeader w:val="false"/>
        </w:trPr>
        <w:tc>
          <w:tcPr>
            <w:tcW w:type="dxa" w:w="1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AC-011</w:t>
            </w:r>
          </w:p>
        </w:tc>
        <w:tc>
          <w:tcPr>
            <w:tcW w:type="dxa" w:w="4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Localhost-only DB/cache/eventing</w:t>
            </w:r>
          </w:p>
        </w:tc>
        <w:tc>
          <w:tcPr>
            <w:tcW w:type="dxa" w:w="4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§3.1 service table; §5.6.4 firewall</w:t>
            </w:r>
          </w:p>
        </w:tc>
      </w:tr>
      <w:tr>
        <w:trPr>
          <w:tblHeader w:val="false"/>
        </w:trP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AC-012</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Support bundle: no plaintext secrets</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§5.5 bundle redaction; secret-scan CI gate</w:t>
            </w:r>
          </w:p>
        </w:tc>
      </w:tr>
    </w:tbl>
    <w:p>
      <w:pPr>
        <w:pStyle w:val="Heading2"/>
        <w:spacing w:after="160" w:before="280"/>
      </w:pPr>
      <w:r>
        <w:rPr>
          <w:b/>
          <w:bCs/>
          <w:color w:val="1A365D"/>
          <w:sz w:val="26"/>
          <w:szCs w:val="26"/>
        </w:rPr>
        <w:t xml:space="preserve">11.6 Appendix F — Locked decisions summary (with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Decision</w:t>
            </w:r>
          </w:p>
        </w:tc>
        <w:tc>
          <w:tcPr>
            <w:tcW w:type="dxa" w:w="63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Rationale</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WiX v4 + C# Managed BA</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OSS, .NET-aligned, mature chain/rollback model, no per-seat cost</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Microsoft Garnet (with ICache fallback)</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OSS, .NET 8 native, Windows-first; abstraction allows Redis fallback</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Kafka KRaft, no ZooKeeper</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LTS stability; KRaft eliminates ZK dependency; Temurin OSS</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Self-contained .NET 8 publish</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Eliminates runtime drift across field sites</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Kestrel under Windows Service</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Zero IIS dependency; HTTPS via Windows cert store</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MySQL 8.4 LTS Community (ZIP)</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Avoids MSI conflicts; installer owns full config lifecycle</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DbUp + pt-online-schema-change</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.NET native + non-blocking COPY-algorithm DDL on large tables</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AES-256-GCM with cert-wrapped key</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Per-backup unique key; restore-to-new-machine support</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Structured JSON daily-rolling logs</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Machine-parseable; correlation_id; aggregation-ready</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Silent install via .epcfg</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Centrally managed rollouts per BRD FR-06</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Percona XtraBackup 8.4</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Only OSS option for physical incremental; built-in encryption</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pt-table-checksum + pt-table-sync</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Chunk-based row drift detection and repair</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SLSA L3 + reproducible builds</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Defense against build-pipeline compromise (XZ/SolarWinds class)</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Per-service auth + local mTLS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Defense in depth beyond localhost-only</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NTP fallback hierarchy</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Air-gapped sites still get monotonic time and tamper-evident audit</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Bundled root-CA snapshot</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Offline machines stay current without Windows Update</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Installer self-update (N→N+1)</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Critical bug fixes propagate without site visit</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ATA distribution via sync</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Rapid revocation if signing key compromised</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Outbox ceilings (G66)</w:t>
            </w:r>
          </w:p>
        </w:tc>
        <w:tc>
          <w:tcPr>
            <w:tcW w:type="dxa" w:w="63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Bounded growth under extended NLDR outage</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Locale baseline (NFC + utf8mb4_0900_ai_ci + ISO 8601 UTC)</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Indic script integrity end-to-end</w:t>
            </w:r>
          </w:p>
        </w:tc>
      </w:tr>
    </w:tbl>
    <w:p>
      <w:pPr>
        <w:pStyle w:val="Heading2"/>
        <w:spacing w:after="160" w:before="280"/>
      </w:pPr>
      <w:r>
        <w:rPr>
          <w:b/>
          <w:bCs/>
          <w:color w:val="1A365D"/>
          <w:sz w:val="26"/>
          <w:szCs w:val="26"/>
        </w:rPr>
        <w:t xml:space="preserve">11.7 Appendix G — Implementation status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rPr>
          <w:tblHeader/>
        </w:trPr>
        <w:tc>
          <w:tcPr>
            <w:tcW w:type="dxa" w:w="30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Component</w:t>
            </w:r>
          </w:p>
        </w:tc>
        <w:tc>
          <w:tcPr>
            <w:tcW w:type="dxa" w:w="150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Status</w:t>
            </w:r>
          </w:p>
        </w:tc>
        <w:tc>
          <w:tcPr>
            <w:tcW w:type="dxa" w:w="4860"/>
            <w:tcBorders>
              <w:top w:val="single" w:color="AAAAAA" w:sz="1"/>
              <w:left w:val="single" w:color="AAAAAA" w:sz="1"/>
              <w:bottom w:val="single" w:color="AAAAAA" w:sz="1"/>
              <w:right w:val="single" w:color="AAAAAA" w:sz="1"/>
            </w:tcBorders>
            <w:shd w:fill="1A365D" w:val="clear"/>
            <w:tcMar>
              <w:top w:type="dxa" w:w="80"/>
              <w:left w:type="dxa" w:w="120"/>
              <w:bottom w:type="dxa" w:w="80"/>
              <w:right w:type="dxa" w:w="120"/>
            </w:tcMar>
            <w:vAlign w:val="center"/>
          </w:tcPr>
          <w:p>
            <w:pPr>
              <w:spacing w:after="0"/>
            </w:pPr>
            <w:r>
              <w:rPr>
                <w:b/>
                <w:bCs/>
                <w:color w:val="FFFFFF"/>
                <w:sz w:val="18"/>
                <w:szCs w:val="18"/>
              </w:rPr>
              <w:t xml:space="preserve">Notes</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Installer.CLI</w:t>
            </w:r>
          </w:p>
        </w:tc>
        <w:tc>
          <w:tcPr>
            <w:tcW w:type="dxa" w:w="15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v1.0</w:t>
            </w:r>
          </w:p>
        </w:tc>
        <w:tc>
          <w:tcPr>
            <w:tcW w:type="dxa" w:w="48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Silent mode + .epcfg consumption; exit codes mapped</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Installer.Core (state machine)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v1.0</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Durable checkpoints; recovery on restart</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Installer.Core.SchemaMigration</w:t>
            </w:r>
          </w:p>
        </w:tc>
        <w:tc>
          <w:tcPr>
            <w:tcW w:type="dxa" w:w="15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v1.0</w:t>
            </w:r>
          </w:p>
        </w:tc>
        <w:tc>
          <w:tcPr>
            <w:tcW w:type="dxa" w:w="48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DbUp runner + fingerprinter + DDL classifier; pt-osc wrapper</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Installer.Actions (prechecks, install)</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v1.0</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OS, disk, RAM, port, admin, pending reboot, ACL, service orchestration</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Installer.Actions.Uninstall</w:t>
            </w:r>
          </w:p>
        </w:tc>
        <w:tc>
          <w:tcPr>
            <w:tcW w:type="dxa" w:w="15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v1.0</w:t>
            </w:r>
          </w:p>
        </w:tc>
        <w:tc>
          <w:tcPr>
            <w:tcW w:type="dxa" w:w="48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Data-preserve default; Override Token gating</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Installer.Agent (monitors)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v1.0</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Disk, drift, log rotation; smoke test</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Installer.Agent.FileSync</w:t>
            </w:r>
          </w:p>
        </w:tc>
        <w:tc>
          <w:tcPr>
            <w:tcW w:type="dxa" w:w="15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v1.0</w:t>
            </w:r>
          </w:p>
        </w:tc>
        <w:tc>
          <w:tcPr>
            <w:tcW w:type="dxa" w:w="48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FileSyncMonitor + IFileSyncTransport; hash dedup; peak-hour deferral</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Installer.Agent.Heartbeat</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v1.0</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HeartbeatMonitor + payload; circuit breaker; HTTPS/WebSocket</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Sync.Abstractions / Sync.Agent</w:t>
            </w:r>
          </w:p>
        </w:tc>
        <w:tc>
          <w:tcPr>
            <w:tcW w:type="dxa" w:w="15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v1.0</w:t>
            </w:r>
          </w:p>
        </w:tc>
        <w:tc>
          <w:tcPr>
            <w:tcW w:type="dxa" w:w="48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ISyncTransport; OutboxRelay; InboxProcessor; ConnectivityMonitor; ReconciliationEngine</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Outbox.Relay</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v1.0</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SELECT FOR UPDATE SKIP LOCKED; graceful Kafka-down</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BackupRestore</w:t>
            </w:r>
          </w:p>
        </w:tc>
        <w:tc>
          <w:tcPr>
            <w:tcW w:type="dxa" w:w="15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v1.0</w:t>
            </w:r>
          </w:p>
        </w:tc>
        <w:tc>
          <w:tcPr>
            <w:tcW w:type="dxa" w:w="48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Tier 1–4 backups; restore engine; manifest signing; XtraBackup integration</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ManifestVerifier</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v1.0</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Parser + hash + signature; ATA path</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SupportBundle</w:t>
            </w:r>
          </w:p>
        </w:tc>
        <w:tc>
          <w:tcPr>
            <w:tcW w:type="dxa" w:w="15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v1.0</w:t>
            </w:r>
          </w:p>
        </w:tc>
        <w:tc>
          <w:tcPr>
            <w:tcW w:type="dxa" w:w="48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Collector with redaction</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bCs/>
                <w:color w:val="000000"/>
                <w:sz w:val="18"/>
                <w:szCs w:val="18"/>
              </w:rPr>
              <w:t xml:space="preserve">SharedKernel</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v1.0</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pPr>
            <w:r>
              <w:rPr>
                <w:b w:val="false"/>
                <w:bCs w:val="false"/>
                <w:color w:val="000000"/>
                <w:sz w:val="18"/>
                <w:szCs w:val="18"/>
              </w:rPr>
              <w:t xml:space="preserve">Contracts, options, security, errors</w:t>
            </w:r>
          </w:p>
        </w:tc>
      </w:tr>
      <w:tr>
        <w:trPr>
          <w:tblHeader w:val="false"/>
        </w:trPr>
        <w:tc>
          <w:tcPr>
            <w:tcW w:type="dxa" w:w="30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bCs/>
                <w:color w:val="000000"/>
                <w:sz w:val="18"/>
                <w:szCs w:val="18"/>
              </w:rPr>
              <w:t xml:space="preserve">Tests (UnitTests, IntegrationTests)</w:t>
            </w:r>
          </w:p>
        </w:tc>
        <w:tc>
          <w:tcPr>
            <w:tcW w:type="dxa" w:w="150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v1.0</w:t>
            </w:r>
          </w:p>
        </w:tc>
        <w:tc>
          <w:tcPr>
            <w:tcW w:type="dxa" w:w="4860"/>
            <w:tcBorders>
              <w:top w:val="single" w:color="AAAAAA" w:sz="1"/>
              <w:left w:val="single" w:color="AAAAAA" w:sz="1"/>
              <w:bottom w:val="single" w:color="AAAAAA" w:sz="1"/>
              <w:right w:val="single" w:color="AAAAAA" w:sz="1"/>
            </w:tcBorders>
            <w:shd w:fill="F7FAFC" w:val="clear"/>
            <w:tcMar>
              <w:top w:type="dxa" w:w="80"/>
              <w:left w:type="dxa" w:w="120"/>
              <w:bottom w:type="dxa" w:w="80"/>
              <w:right w:type="dxa" w:w="120"/>
            </w:tcMar>
            <w:vAlign w:val="center"/>
          </w:tcPr>
          <w:p>
            <w:pPr>
              <w:spacing w:after="0"/>
            </w:pPr>
            <w:r>
              <w:rPr>
                <w:b w:val="false"/>
                <w:bCs w:val="false"/>
                <w:color w:val="000000"/>
                <w:sz w:val="18"/>
                <w:szCs w:val="18"/>
              </w:rPr>
              <w:t xml:space="preserve">Core unit suite + Pester integration scaffolding</w:t>
            </w:r>
          </w:p>
        </w:tc>
      </w:tr>
    </w:tbl>
    <w:p>
      <w:pPr>
        <w:spacing w:before="600"/>
        <w:jc w:val="center"/>
      </w:pPr>
      <w:r>
        <w:rPr>
          <w:i/>
          <w:iCs/>
          <w:color w:val="4A5568"/>
          <w:sz w:val="20"/>
          <w:szCs w:val="20"/>
        </w:rPr>
        <w:t xml:space="preserve">End of Solution Architecture &amp; Design — v1.0</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65D" w:sz="6" w:space="1"/>
      </w:pBdr>
      <w:tabs>
        <w:tab w:val="right" w:pos="9360"/>
      </w:tabs>
      <w:jc w:val="left"/>
    </w:pPr>
    <w:r>
      <w:rPr>
        <w:color w:val="4A5568"/>
        <w:sz w:val="16"/>
        <w:szCs w:val="16"/>
      </w:rPr>
      <w:t xml:space="preserve">Confidential — NLPSV / Intellect</w:t>
    </w:r>
    <w:r>
      <w:t xml:space="preserve">	</w:t>
    </w:r>
    <w:r>
      <w:rPr>
        <w:color w:val="4A5568"/>
        <w:sz w:val="16"/>
        <w:szCs w:val="16"/>
      </w:rPr>
      <w:t xml:space="preserve">Page </w:t>
    </w:r>
    <w:r>
      <w:rPr>
        <w:color w:val="4A5568"/>
        <w:sz w:val="16"/>
        <w:szCs w:val="16"/>
      </w:rPr>
      <w:fldChar w:fldCharType="begin"/>
      <w:instrText xml:space="preserve">PAGE</w:instrText>
      <w:fldChar w:fldCharType="separate"/>
      <w:fldChar w:fldCharType="end"/>
    </w:r>
    <w:r>
      <w:rPr>
        <w:color w:val="4A5568"/>
        <w:sz w:val="16"/>
        <w:szCs w:val="16"/>
      </w:rPr>
      <w:t xml:space="preserve"> of </w:t>
    </w:r>
    <w:r>
      <w:rPr>
        <w:color w:val="4A55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65D" w:sz="6" w:space="1"/>
      </w:pBdr>
      <w:tabs>
        <w:tab w:val="right" w:pos="9360"/>
      </w:tabs>
      <w:spacing w:after="100"/>
    </w:pPr>
    <w:r>
      <w:rPr>
        <w:color w:val="4A5568"/>
        <w:sz w:val="18"/>
        <w:szCs w:val="18"/>
      </w:rPr>
      <w:t xml:space="preserve">ePACS — Solution Architecture &amp; Design</w:t>
    </w:r>
    <w:r>
      <w:t xml:space="preserve">	</w:t>
    </w:r>
    <w:r>
      <w:rPr>
        <w:color w:val="4A5568"/>
        <w:sz w:val="18"/>
        <w:szCs w:val="18"/>
      </w:rPr>
      <w:t xml:space="preserve">v1.0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A365D"/>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1A365D"/>
      <w:sz w:val="26"/>
      <w:szCs w:val="26"/>
    </w:rPr>
  </w:style>
  <w:style w:type="paragraph" w:styleId="Heading3">
    <w:name w:val="Heading 3"/>
    <w:basedOn w:val="Normal"/>
    <w:next w:val="Normal"/>
    <w:qFormat/>
    <w:pPr>
      <w:spacing w:after="120" w:before="200"/>
      <w:outlineLvl w:val="2"/>
    </w:pPr>
    <w:rPr>
      <w:rFonts w:ascii="Calibri" w:cs="Calibri" w:eastAsia="Calibri" w:hAnsi="Calibri"/>
      <w:b/>
      <w:bCs/>
      <w:color w:val="2B6CB0"/>
      <w:sz w:val="22"/>
      <w:szCs w:val="22"/>
    </w:rPr>
  </w:style>
  <w:style w:type="paragraph" w:styleId="Heading4">
    <w:name w:val="Heading 4"/>
    <w:basedOn w:val="Normal"/>
    <w:next w:val="Normal"/>
    <w:qFormat/>
    <w:pPr>
      <w:spacing w:after="100" w:before="160"/>
      <w:outlineLvl w:val="3"/>
    </w:pPr>
    <w:rPr>
      <w:rFonts w:ascii="Calibri" w:cs="Calibri" w:eastAsia="Calibri" w:hAnsi="Calibri"/>
      <w:b/>
      <w:bCs/>
      <w:color w:val="2C7A7B"/>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c7a44619c9f81bfad93cb758cf7fd3af0609442.png"/><Relationship Id="rId10" Type="http://schemas.openxmlformats.org/officeDocument/2006/relationships/image" Target="media/0b0f9eb1cc0c87d38bc778ad8abcfc8b65f8a630.png"/><Relationship Id="rId11" Type="http://schemas.openxmlformats.org/officeDocument/2006/relationships/image" Target="media/f4b2832166caa141784ad4347b22da5bc7542d75.png"/><Relationship Id="rId12" Type="http://schemas.openxmlformats.org/officeDocument/2006/relationships/image" Target="media/445506f74a2e173bbc57afef3bff67ebbf5311d8.png"/><Relationship Id="rId13" Type="http://schemas.openxmlformats.org/officeDocument/2006/relationships/image" Target="media/ae991b733e8bf0e905cf057e26d3173b7c7c66ce.png"/><Relationship Id="rId14" Type="http://schemas.openxmlformats.org/officeDocument/2006/relationships/image" Target="media/2fd0ab629f97cdaa4720b9d7df5a39bfafb10a08.png"/><Relationship Id="rId15" Type="http://schemas.openxmlformats.org/officeDocument/2006/relationships/image" Target="media/60eff3a6e9448b8897e5660407e904bef57f9fe4.png"/><Relationship Id="rId16" Type="http://schemas.openxmlformats.org/officeDocument/2006/relationships/image" Target="media/8c5cdf8f0aa8b1be96c3a119b914d6a073187365.png"/><Relationship Id="rId17" Type="http://schemas.openxmlformats.org/officeDocument/2006/relationships/image" Target="media/4706f62e4feaace10e69124b7541bbe15e6e46dd.png"/><Relationship Id="rId18" Type="http://schemas.openxmlformats.org/officeDocument/2006/relationships/image" Target="media/a7b27c3a45c97af6546383743bb8efcc920e0f9d.png"/><Relationship Id="rId19" Type="http://schemas.openxmlformats.org/officeDocument/2006/relationships/image" Target="media/443d74f8067a3abcf6441925806b2ee59bc8f783.png"/><Relationship Id="rId20" Type="http://schemas.openxmlformats.org/officeDocument/2006/relationships/image" Target="media/b69c9f2b42e4b3fd9f60742c60006a461f6912c7.png"/><Relationship Id="rId21" Type="http://schemas.openxmlformats.org/officeDocument/2006/relationships/image" Target="media/17fc710b8644258aa477071cd6f6cae4c8f3c126.png"/><Relationship Id="rId22" Type="http://schemas.openxmlformats.org/officeDocument/2006/relationships/image" Target="media/5acf6cde770c06f1dba02141a06868636660878d.png"/><Relationship Id="rId23" Type="http://schemas.openxmlformats.org/officeDocument/2006/relationships/image" Target="media/a904173ffd0d897d7c15bf2260f0c22499d6ca26.png"/><Relationship Id="rId24" Type="http://schemas.openxmlformats.org/officeDocument/2006/relationships/image" Target="media/5cb02323e6c6ab39d7750a8afc270de39329d03a.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2026-05-05T02:28:54.958Z</dcterms:created>
  <dcterms:modified xsi:type="dcterms:W3CDTF">2026-05-05T02:28:54.958Z</dcterms:modified>
</cp:coreProperties>
</file>

<file path=docProps/custom.xml><?xml version="1.0" encoding="utf-8"?>
<Properties xmlns="http://schemas.openxmlformats.org/officeDocument/2006/custom-properties" xmlns:vt="http://schemas.openxmlformats.org/officeDocument/2006/docPropsVTypes"/>
</file>